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1C8" w:rsidRPr="003906D2" w:rsidRDefault="00F42411" w:rsidP="003906D2">
      <w:pPr>
        <w:tabs>
          <w:tab w:val="left" w:pos="5445"/>
        </w:tabs>
        <w:jc w:val="center"/>
        <w:rPr>
          <w:rFonts w:ascii="Comic Sans MS" w:hAnsi="Comic Sans MS"/>
          <w:sz w:val="50"/>
          <w:szCs w:val="50"/>
        </w:rPr>
      </w:pPr>
      <w:r w:rsidRPr="0082610F">
        <w:rPr>
          <w:rFonts w:ascii="Comic Sans MS" w:hAnsi="Comic Sans MS"/>
          <w:sz w:val="50"/>
          <w:szCs w:val="50"/>
        </w:rPr>
        <w:t>Nøgletal</w:t>
      </w:r>
    </w:p>
    <w:p w:rsidR="00BD21C8" w:rsidRPr="00822792" w:rsidRDefault="00805893" w:rsidP="00822792">
      <w:pPr>
        <w:pStyle w:val="Overskrift2"/>
      </w:pPr>
      <w:r>
        <w:t xml:space="preserve">1. </w:t>
      </w:r>
      <w:r w:rsidR="00822792">
        <w:t>Afkastningsgrad</w:t>
      </w:r>
    </w:p>
    <w:p w:rsidR="002029DB" w:rsidRDefault="002029DB" w:rsidP="00BD21C8">
      <w:pPr>
        <w:tabs>
          <w:tab w:val="left" w:pos="5445"/>
        </w:tabs>
      </w:pPr>
      <w:r w:rsidRPr="008E0198">
        <w:rPr>
          <w:i/>
        </w:rPr>
        <w:t>Afkastningsgraden</w:t>
      </w:r>
      <w:r w:rsidR="004B4A32">
        <w:rPr>
          <w:i/>
        </w:rPr>
        <w:t xml:space="preserve"> (AG)</w:t>
      </w:r>
      <w:r>
        <w:t xml:space="preserve"> er et nøgletal, der anvendes til at belyse </w:t>
      </w:r>
      <w:r w:rsidRPr="00B85F02">
        <w:rPr>
          <w:u w:val="single"/>
        </w:rPr>
        <w:t>virksomhedens rentabilitet</w:t>
      </w:r>
      <w:r>
        <w:t>. Nøgletallet udregnes som følgende</w:t>
      </w:r>
      <w:r w:rsidR="00833EC4">
        <w:t xml:space="preserve"> (enheden er %)</w:t>
      </w:r>
      <w:r>
        <w:t>:</w:t>
      </w:r>
    </w:p>
    <w:tbl>
      <w:tblPr>
        <w:tblW w:w="0" w:type="auto"/>
        <w:tblInd w:w="2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7"/>
      </w:tblGrid>
      <w:tr w:rsidR="0082069D" w:rsidTr="007928E7">
        <w:trPr>
          <w:trHeight w:val="728"/>
        </w:trPr>
        <w:tc>
          <w:tcPr>
            <w:tcW w:w="5727" w:type="dxa"/>
          </w:tcPr>
          <w:p w:rsidR="0082069D" w:rsidRDefault="0082069D" w:rsidP="0082069D">
            <w:pPr>
              <w:tabs>
                <w:tab w:val="left" w:pos="5445"/>
              </w:tabs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Afkastningsgraden=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Resultat af primær drift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Gennemsnitlige aktiver</m:t>
                    </m:r>
                  </m:den>
                </m:f>
                <m:r>
                  <w:rPr>
                    <w:rFonts w:ascii="Cambria Math" w:eastAsia="Calibri" w:hAnsi="Cambria Math" w:cs="Times New Roman"/>
                  </w:rPr>
                  <m:t>x100</m:t>
                </m:r>
              </m:oMath>
            </m:oMathPara>
          </w:p>
        </w:tc>
      </w:tr>
    </w:tbl>
    <w:p w:rsidR="004B4A32" w:rsidRDefault="004B4A32" w:rsidP="00BD21C8">
      <w:pPr>
        <w:tabs>
          <w:tab w:val="left" w:pos="5445"/>
        </w:tabs>
      </w:pPr>
    </w:p>
    <w:tbl>
      <w:tblPr>
        <w:tblW w:w="0" w:type="auto"/>
        <w:tblInd w:w="2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</w:tblGrid>
      <w:tr w:rsidR="004B4A32" w:rsidTr="007928E7">
        <w:trPr>
          <w:trHeight w:val="534"/>
        </w:trPr>
        <w:tc>
          <w:tcPr>
            <w:tcW w:w="5954" w:type="dxa"/>
            <w:tcBorders>
              <w:bottom w:val="single" w:sz="4" w:space="0" w:color="auto"/>
            </w:tcBorders>
          </w:tcPr>
          <w:p w:rsidR="004B4A32" w:rsidRDefault="004B4A32" w:rsidP="00BD21C8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Afkastningsgraden=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Resultat før finansielle omk.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Gennemsnitlige aktiver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x100</m:t>
                </m:r>
              </m:oMath>
            </m:oMathPara>
          </w:p>
        </w:tc>
      </w:tr>
    </w:tbl>
    <w:p w:rsidR="003951EC" w:rsidRDefault="003951EC" w:rsidP="00BD21C8">
      <w:pPr>
        <w:tabs>
          <w:tab w:val="left" w:pos="5445"/>
        </w:tabs>
      </w:pPr>
    </w:p>
    <w:tbl>
      <w:tblPr>
        <w:tblW w:w="8080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</w:tblGrid>
      <w:tr w:rsidR="00B85F02" w:rsidTr="000B0875">
        <w:trPr>
          <w:trHeight w:val="534"/>
        </w:trPr>
        <w:tc>
          <w:tcPr>
            <w:tcW w:w="8080" w:type="dxa"/>
            <w:tcBorders>
              <w:bottom w:val="single" w:sz="4" w:space="0" w:color="auto"/>
            </w:tcBorders>
          </w:tcPr>
          <w:p w:rsidR="00B85F02" w:rsidRDefault="00B85F02" w:rsidP="00B85F02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Afkastningsgraden=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(Resultat af primær drift+finansielle indtægter)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Gennemsnitlige aktiver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x100</m:t>
                </m:r>
              </m:oMath>
            </m:oMathPara>
          </w:p>
        </w:tc>
      </w:tr>
    </w:tbl>
    <w:p w:rsidR="00B85F02" w:rsidRDefault="00B85F02" w:rsidP="00BD21C8">
      <w:pPr>
        <w:tabs>
          <w:tab w:val="left" w:pos="5445"/>
        </w:tabs>
      </w:pPr>
    </w:p>
    <w:p w:rsidR="008E0198" w:rsidRDefault="008E0198" w:rsidP="00BD21C8">
      <w:pPr>
        <w:tabs>
          <w:tab w:val="left" w:pos="5445"/>
        </w:tabs>
      </w:pPr>
      <w:r w:rsidRPr="008E0198">
        <w:rPr>
          <w:i/>
        </w:rPr>
        <w:t>Afkastningsgraden</w:t>
      </w:r>
      <w:r>
        <w:t xml:space="preserve"> viser virksomhedens evne til at skabe overskud (</w:t>
      </w:r>
      <w:r w:rsidR="000222BE">
        <w:rPr>
          <w:i/>
        </w:rPr>
        <w:t>tælleren</w:t>
      </w:r>
      <w:r>
        <w:rPr>
          <w:i/>
        </w:rPr>
        <w:t>)</w:t>
      </w:r>
      <w:r>
        <w:t xml:space="preserve"> i forhold til den investerede kapital i aktiver (</w:t>
      </w:r>
      <w:r w:rsidR="000222BE">
        <w:rPr>
          <w:i/>
        </w:rPr>
        <w:t>nævneren</w:t>
      </w:r>
      <w:r>
        <w:rPr>
          <w:i/>
        </w:rPr>
        <w:t>)</w:t>
      </w:r>
      <w:r>
        <w:t>. Det er her væsentligt at huske, at der ikke skelnes mellem hvorvidt aktiverne er finansieret via:</w:t>
      </w:r>
    </w:p>
    <w:p w:rsidR="008E0198" w:rsidRDefault="008E0198" w:rsidP="008E0198">
      <w:pPr>
        <w:pStyle w:val="Listeafsnit"/>
        <w:numPr>
          <w:ilvl w:val="0"/>
          <w:numId w:val="1"/>
        </w:numPr>
        <w:tabs>
          <w:tab w:val="left" w:pos="5445"/>
        </w:tabs>
      </w:pPr>
      <w:r>
        <w:t>Egenkapital (virksomhedens egenkapital = virksomhedsejernes egenkapital), og/eller</w:t>
      </w:r>
    </w:p>
    <w:p w:rsidR="008E0198" w:rsidRDefault="008E0198" w:rsidP="008E0198">
      <w:pPr>
        <w:pStyle w:val="Listeafsnit"/>
        <w:numPr>
          <w:ilvl w:val="0"/>
          <w:numId w:val="1"/>
        </w:numPr>
        <w:tabs>
          <w:tab w:val="left" w:pos="5445"/>
        </w:tabs>
      </w:pPr>
      <w:r>
        <w:t>Fremmedkapital (gæld – kortfristede – langfristede gældsforpligtelser)</w:t>
      </w:r>
    </w:p>
    <w:p w:rsidR="003951EC" w:rsidRDefault="00B85F02" w:rsidP="003951EC">
      <w:pPr>
        <w:tabs>
          <w:tab w:val="left" w:pos="5445"/>
        </w:tabs>
      </w:pPr>
      <w:r>
        <w:t xml:space="preserve">Altså måles </w:t>
      </w:r>
      <w:r w:rsidR="00E02A59">
        <w:t xml:space="preserve">her </w:t>
      </w:r>
      <w:r>
        <w:t xml:space="preserve">forrentningen af </w:t>
      </w:r>
      <w:r w:rsidRPr="00B85F02">
        <w:rPr>
          <w:u w:val="single"/>
        </w:rPr>
        <w:t>hele</w:t>
      </w:r>
      <w:r w:rsidR="00E02A59">
        <w:t xml:space="preserve"> den investerede kapital i virksomheden.</w:t>
      </w:r>
    </w:p>
    <w:p w:rsidR="00293E98" w:rsidRDefault="00293E98" w:rsidP="003951EC">
      <w:pPr>
        <w:tabs>
          <w:tab w:val="left" w:pos="5445"/>
        </w:tabs>
      </w:pPr>
    </w:p>
    <w:p w:rsidR="00293E98" w:rsidRPr="00B7090F" w:rsidRDefault="00293E98" w:rsidP="00293E98">
      <w:pPr>
        <w:tabs>
          <w:tab w:val="left" w:pos="5445"/>
        </w:tabs>
        <w:rPr>
          <w:u w:val="single"/>
        </w:rPr>
      </w:pPr>
      <w:r w:rsidRPr="00B7090F">
        <w:rPr>
          <w:u w:val="single"/>
        </w:rPr>
        <w:t>Afkastningsgraden forbedres når:</w:t>
      </w:r>
    </w:p>
    <w:p w:rsidR="00293E98" w:rsidRDefault="00293E98" w:rsidP="00293E98">
      <w:pPr>
        <w:pStyle w:val="Listeafsnit"/>
        <w:numPr>
          <w:ilvl w:val="0"/>
          <w:numId w:val="2"/>
        </w:numPr>
        <w:tabs>
          <w:tab w:val="left" w:pos="5445"/>
        </w:tabs>
      </w:pPr>
      <w:r>
        <w:t>Forholdet mellem indtægter og omkostninger ↑ (altså indtægter stiger mere end omkostninger)</w:t>
      </w:r>
    </w:p>
    <w:p w:rsidR="00293E98" w:rsidRDefault="00293E98" w:rsidP="00293E98">
      <w:pPr>
        <w:pStyle w:val="Listeafsnit"/>
        <w:numPr>
          <w:ilvl w:val="0"/>
          <w:numId w:val="2"/>
        </w:numPr>
        <w:tabs>
          <w:tab w:val="left" w:pos="5445"/>
        </w:tabs>
      </w:pPr>
      <w:r>
        <w:t>Gennemsnitlige aktiver i virksomheden mindskes</w:t>
      </w:r>
      <w:r w:rsidR="003A43F7">
        <w:t xml:space="preserve"> (</w:t>
      </w:r>
      <w:r w:rsidR="003A43F7" w:rsidRPr="003A43F7">
        <w:rPr>
          <w:i/>
        </w:rPr>
        <w:t>nævner</w:t>
      </w:r>
      <w:r w:rsidR="003A43F7">
        <w:t>)</w:t>
      </w:r>
    </w:p>
    <w:p w:rsidR="008E0198" w:rsidRDefault="008E0198" w:rsidP="008E0198">
      <w:pPr>
        <w:tabs>
          <w:tab w:val="left" w:pos="5445"/>
        </w:tabs>
      </w:pPr>
    </w:p>
    <w:p w:rsidR="00A07389" w:rsidRPr="00A07389" w:rsidRDefault="00A07389" w:rsidP="008E0198">
      <w:pPr>
        <w:tabs>
          <w:tab w:val="left" w:pos="5445"/>
        </w:tabs>
        <w:rPr>
          <w:u w:val="single"/>
        </w:rPr>
      </w:pPr>
      <w:r w:rsidRPr="00A07389">
        <w:rPr>
          <w:u w:val="single"/>
        </w:rPr>
        <w:t>Hvor findes data?</w:t>
      </w:r>
    </w:p>
    <w:p w:rsidR="00A07389" w:rsidRDefault="00A07389" w:rsidP="00A07389">
      <w:pPr>
        <w:pStyle w:val="Listeafsnit"/>
        <w:numPr>
          <w:ilvl w:val="0"/>
          <w:numId w:val="3"/>
        </w:numPr>
        <w:tabs>
          <w:tab w:val="left" w:pos="5445"/>
        </w:tabs>
      </w:pPr>
      <w:r w:rsidRPr="000A7679">
        <w:rPr>
          <w:i/>
        </w:rPr>
        <w:t>Resultat af primære drift / Resultat før finansielle omkostninger</w:t>
      </w:r>
      <w:r>
        <w:t xml:space="preserve"> findes i </w:t>
      </w:r>
      <w:r w:rsidRPr="00A07389">
        <w:rPr>
          <w:u w:val="single"/>
        </w:rPr>
        <w:t>resultatopgørelsen</w:t>
      </w:r>
    </w:p>
    <w:p w:rsidR="00A07389" w:rsidRDefault="00A07389" w:rsidP="00A07389">
      <w:pPr>
        <w:pStyle w:val="Listeafsnit"/>
        <w:numPr>
          <w:ilvl w:val="0"/>
          <w:numId w:val="3"/>
        </w:numPr>
        <w:tabs>
          <w:tab w:val="left" w:pos="5445"/>
        </w:tabs>
      </w:pPr>
      <w:r w:rsidRPr="000A7679">
        <w:rPr>
          <w:i/>
        </w:rPr>
        <w:t>Gennemsnitlige aktiver</w:t>
      </w:r>
      <w:r>
        <w:t xml:space="preserve"> findes i </w:t>
      </w:r>
      <w:r w:rsidRPr="00A07389">
        <w:rPr>
          <w:u w:val="single"/>
        </w:rPr>
        <w:t>balancen</w:t>
      </w:r>
    </w:p>
    <w:p w:rsidR="00A07389" w:rsidRDefault="00A07389" w:rsidP="008E0198">
      <w:pPr>
        <w:tabs>
          <w:tab w:val="left" w:pos="5445"/>
        </w:tabs>
      </w:pPr>
    </w:p>
    <w:p w:rsidR="00FC62AB" w:rsidRDefault="008E0198" w:rsidP="008E0198">
      <w:pPr>
        <w:tabs>
          <w:tab w:val="left" w:pos="5445"/>
        </w:tabs>
      </w:pPr>
      <w:r>
        <w:t xml:space="preserve">En tilfredsstillende </w:t>
      </w:r>
      <w:r w:rsidRPr="00712FCA">
        <w:rPr>
          <w:i/>
        </w:rPr>
        <w:t>afkastningsgrad</w:t>
      </w:r>
      <w:r>
        <w:t xml:space="preserve"> skal være et par procentpoint over markedsrenten</w:t>
      </w:r>
      <w:r w:rsidR="003951EC">
        <w:t xml:space="preserve"> grundet den højere risiko ved at investere i en virksomhed</w:t>
      </w:r>
      <w:r w:rsidR="0074717F">
        <w:t xml:space="preserve"> – altså et risikotillæg</w:t>
      </w:r>
      <w:r>
        <w:t>.</w:t>
      </w:r>
      <w:r w:rsidR="00FC62AB">
        <w:t xml:space="preserve"> Til sammenligning med en alternativ investering kan statsobligationer anvendes.</w:t>
      </w:r>
    </w:p>
    <w:p w:rsidR="003951EC" w:rsidRDefault="00FC62AB" w:rsidP="008E0198">
      <w:pPr>
        <w:tabs>
          <w:tab w:val="left" w:pos="5445"/>
        </w:tabs>
      </w:pPr>
      <w:r>
        <w:t>En lav afkastningsgrad kan indikere</w:t>
      </w:r>
      <w:r w:rsidR="003951EC">
        <w:t>, at virksomheden har bundet for meget kapital i aktiverne, og muligvis bør overveje at reducere mængden aktiver.</w:t>
      </w:r>
    </w:p>
    <w:p w:rsidR="003951EC" w:rsidRPr="003951EC" w:rsidRDefault="003951EC" w:rsidP="008E0198">
      <w:pPr>
        <w:tabs>
          <w:tab w:val="left" w:pos="5445"/>
        </w:tabs>
        <w:rPr>
          <w:u w:val="single"/>
        </w:rPr>
      </w:pPr>
      <w:r w:rsidRPr="003951EC">
        <w:rPr>
          <w:u w:val="single"/>
        </w:rPr>
        <w:lastRenderedPageBreak/>
        <w:t>Fortolkning:</w:t>
      </w:r>
    </w:p>
    <w:p w:rsidR="008E0198" w:rsidRDefault="003951EC" w:rsidP="008E0198">
      <w:pPr>
        <w:tabs>
          <w:tab w:val="left" w:pos="5445"/>
        </w:tabs>
      </w:pPr>
      <w:r>
        <w:rPr>
          <w:i/>
        </w:rPr>
        <w:t>En afkastningsgrad på 14</w:t>
      </w:r>
      <w:r w:rsidR="0082610F">
        <w:rPr>
          <w:i/>
        </w:rPr>
        <w:t>,0</w:t>
      </w:r>
      <w:r>
        <w:rPr>
          <w:i/>
        </w:rPr>
        <w:t>% betyder, at for hver gang virksomheden investerer 100 kr. i aktiver, så giver dette et afkast på 14 kr.</w:t>
      </w:r>
      <w:r w:rsidR="00833EC4">
        <w:rPr>
          <w:i/>
        </w:rPr>
        <w:t xml:space="preserve"> </w:t>
      </w:r>
      <w:r w:rsidR="00833EC4" w:rsidRPr="00833EC4">
        <w:rPr>
          <w:i/>
        </w:rPr>
        <w:sym w:font="Wingdings" w:char="F0E0"/>
      </w:r>
      <w:r w:rsidR="00833EC4">
        <w:rPr>
          <w:i/>
        </w:rPr>
        <w:t xml:space="preserve"> Der opnås med andre ord en indtjening på 14 kr. pr. 100 kr. investeret i kapital.</w:t>
      </w:r>
      <w:r w:rsidR="00FC62AB">
        <w:t xml:space="preserve"> </w:t>
      </w:r>
    </w:p>
    <w:p w:rsidR="00E917D2" w:rsidRDefault="0082610F" w:rsidP="00BD21C8">
      <w:pPr>
        <w:tabs>
          <w:tab w:val="left" w:pos="5445"/>
        </w:tabs>
        <w:rPr>
          <w:i/>
        </w:rPr>
      </w:pPr>
      <w:r>
        <w:rPr>
          <w:i/>
        </w:rPr>
        <w:t xml:space="preserve">Hvis afkastningsgraden er steget fra 12,9% til 14,0%, så betyder det, at rentabiliteten </w:t>
      </w:r>
      <w:r w:rsidR="0074717F">
        <w:rPr>
          <w:i/>
        </w:rPr>
        <w:t>er forbedret med 1,1 procentpoint.</w:t>
      </w:r>
    </w:p>
    <w:p w:rsidR="00057615" w:rsidRPr="00293E98" w:rsidRDefault="00057615" w:rsidP="00BD21C8">
      <w:pPr>
        <w:tabs>
          <w:tab w:val="left" w:pos="5445"/>
        </w:tabs>
        <w:rPr>
          <w:i/>
        </w:rPr>
      </w:pPr>
    </w:p>
    <w:p w:rsidR="00BD21C8" w:rsidRDefault="00805893" w:rsidP="00822792">
      <w:pPr>
        <w:pStyle w:val="Overskrift2"/>
      </w:pPr>
      <w:r>
        <w:t xml:space="preserve">2. </w:t>
      </w:r>
      <w:r w:rsidR="00822792">
        <w:t>Overskudsgrad</w:t>
      </w:r>
      <w:r w:rsidR="00DB3989">
        <w:t xml:space="preserve"> eller EBIT-marginen</w:t>
      </w:r>
    </w:p>
    <w:p w:rsidR="00FC62AB" w:rsidRDefault="00FC62AB" w:rsidP="00FC62AB">
      <w:pPr>
        <w:tabs>
          <w:tab w:val="left" w:pos="5445"/>
        </w:tabs>
      </w:pPr>
      <w:r w:rsidRPr="00E02A59">
        <w:rPr>
          <w:i/>
        </w:rPr>
        <w:t>Overskudsgraden (OG)</w:t>
      </w:r>
      <w:r>
        <w:t xml:space="preserve"> </w:t>
      </w:r>
      <w:r w:rsidR="00E917D2">
        <w:t xml:space="preserve">er et nøgletal, der anvendes til at belyse </w:t>
      </w:r>
      <w:r w:rsidR="00E917D2" w:rsidRPr="00E917D2">
        <w:rPr>
          <w:u w:val="single"/>
        </w:rPr>
        <w:t>virksomhedens indtjeningsevne</w:t>
      </w:r>
      <w:r w:rsidR="00B7090F">
        <w:t>, og medregnes som en del af rentabilitetsanalysen.</w:t>
      </w:r>
      <w:r w:rsidR="00E917D2">
        <w:t xml:space="preserve"> Nøgletallet udregnes som følgende</w:t>
      </w:r>
      <w:r w:rsidR="00833EC4">
        <w:t xml:space="preserve"> (enheden er %):</w:t>
      </w:r>
    </w:p>
    <w:tbl>
      <w:tblPr>
        <w:tblW w:w="0" w:type="auto"/>
        <w:tblInd w:w="2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2"/>
      </w:tblGrid>
      <w:tr w:rsidR="00FC62AB" w:rsidTr="00E353DD">
        <w:trPr>
          <w:trHeight w:val="534"/>
        </w:trPr>
        <w:tc>
          <w:tcPr>
            <w:tcW w:w="5372" w:type="dxa"/>
            <w:tcBorders>
              <w:bottom w:val="single" w:sz="4" w:space="0" w:color="auto"/>
            </w:tcBorders>
          </w:tcPr>
          <w:p w:rsidR="00FC62AB" w:rsidRDefault="00FC62AB" w:rsidP="003906D2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Overskudsgraden=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Resultat af primære drift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Nettoomsætningen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x100</m:t>
                </m:r>
              </m:oMath>
            </m:oMathPara>
          </w:p>
        </w:tc>
      </w:tr>
    </w:tbl>
    <w:p w:rsidR="003906D2" w:rsidRDefault="003906D2" w:rsidP="003906D2">
      <w:pPr>
        <w:tabs>
          <w:tab w:val="left" w:pos="5445"/>
        </w:tabs>
      </w:pPr>
    </w:p>
    <w:tbl>
      <w:tblPr>
        <w:tblW w:w="8295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5"/>
      </w:tblGrid>
      <w:tr w:rsidR="003906D2" w:rsidTr="007928E7">
        <w:trPr>
          <w:trHeight w:val="534"/>
        </w:trPr>
        <w:tc>
          <w:tcPr>
            <w:tcW w:w="8295" w:type="dxa"/>
            <w:tcBorders>
              <w:bottom w:val="single" w:sz="4" w:space="0" w:color="auto"/>
            </w:tcBorders>
          </w:tcPr>
          <w:p w:rsidR="003906D2" w:rsidRDefault="003906D2" w:rsidP="00E353DD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Overskudsgraden=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(Resultat af primære drift+finansielle indtæger)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Nettoomsætningen</m:t>
                    </m:r>
                  </m:den>
                </m:f>
                <m:r>
                  <w:rPr>
                    <w:rFonts w:ascii="Cambria Math" w:hAnsi="Cambria Math"/>
                  </w:rPr>
                  <m:t>x 100</m:t>
                </m:r>
              </m:oMath>
            </m:oMathPara>
          </w:p>
        </w:tc>
      </w:tr>
    </w:tbl>
    <w:p w:rsidR="003906D2" w:rsidRDefault="003906D2" w:rsidP="003906D2">
      <w:pPr>
        <w:tabs>
          <w:tab w:val="left" w:pos="5445"/>
        </w:tabs>
      </w:pPr>
    </w:p>
    <w:p w:rsidR="007928E7" w:rsidRPr="004F2BC3" w:rsidRDefault="000222BE" w:rsidP="003906D2">
      <w:pPr>
        <w:tabs>
          <w:tab w:val="left" w:pos="5445"/>
        </w:tabs>
      </w:pPr>
      <w:r w:rsidRPr="004F2BC3">
        <w:rPr>
          <w:i/>
        </w:rPr>
        <w:t>Overskudsgraden</w:t>
      </w:r>
      <w:r w:rsidRPr="004F2BC3">
        <w:t xml:space="preserve"> viser h</w:t>
      </w:r>
      <w:r w:rsidR="007928E7" w:rsidRPr="004F2BC3">
        <w:t xml:space="preserve">vor stor en del af omsætningen der </w:t>
      </w:r>
      <w:r w:rsidRPr="004F2BC3">
        <w:t>er</w:t>
      </w:r>
      <w:r w:rsidR="007928E7" w:rsidRPr="004F2BC3">
        <w:t xml:space="preserve"> </w:t>
      </w:r>
      <w:r w:rsidRPr="004F2BC3">
        <w:t>tilbage</w:t>
      </w:r>
      <w:r w:rsidR="007928E7" w:rsidRPr="004F2BC3">
        <w:t>, når</w:t>
      </w:r>
      <w:r w:rsidRPr="004F2BC3">
        <w:t xml:space="preserve"> alle</w:t>
      </w:r>
      <w:r w:rsidR="007928E7" w:rsidRPr="004F2BC3">
        <w:t xml:space="preserve"> driftsomkostninger</w:t>
      </w:r>
      <w:r w:rsidRPr="004F2BC3">
        <w:t xml:space="preserve"> (undtaget renteomkostninger)</w:t>
      </w:r>
      <w:r w:rsidR="007928E7" w:rsidRPr="004F2BC3">
        <w:t xml:space="preserve"> er </w:t>
      </w:r>
      <w:r w:rsidRPr="004F2BC3">
        <w:t>betalt</w:t>
      </w:r>
      <w:r w:rsidR="007928E7" w:rsidRPr="004F2BC3">
        <w:t>.</w:t>
      </w:r>
      <w:r w:rsidRPr="004F2BC3">
        <w:t xml:space="preserve"> Nøgletallet viser altså hvor god virksomheden er til at skabe overskud (</w:t>
      </w:r>
      <w:r w:rsidR="003A43F7">
        <w:rPr>
          <w:i/>
        </w:rPr>
        <w:t>tæller</w:t>
      </w:r>
      <w:r w:rsidRPr="004F2BC3">
        <w:t>) ud af omsætningen (</w:t>
      </w:r>
      <w:r w:rsidR="003A43F7">
        <w:rPr>
          <w:i/>
        </w:rPr>
        <w:t>nævner</w:t>
      </w:r>
      <w:r w:rsidRPr="004F2BC3">
        <w:t>)</w:t>
      </w:r>
      <w:r w:rsidR="004F2BC3" w:rsidRPr="004F2BC3">
        <w:t xml:space="preserve"> – altså</w:t>
      </w:r>
      <w:r w:rsidR="004F2BC3">
        <w:t xml:space="preserve"> belyser </w:t>
      </w:r>
      <w:r w:rsidR="004F2BC3" w:rsidRPr="004F2BC3">
        <w:rPr>
          <w:i/>
        </w:rPr>
        <w:t>overskudsgraden</w:t>
      </w:r>
      <w:r w:rsidR="004F2BC3" w:rsidRPr="004F2BC3">
        <w:t xml:space="preserve"> forholdet mellem virksomhedens indtægter og omkostninger</w:t>
      </w:r>
      <w:r w:rsidR="004F2BC3">
        <w:t>.</w:t>
      </w:r>
      <w:r w:rsidR="004F2BC3" w:rsidRPr="004F2BC3">
        <w:t xml:space="preserve"> </w:t>
      </w:r>
    </w:p>
    <w:p w:rsidR="00FC62AB" w:rsidRDefault="00DB3989" w:rsidP="00BD21C8">
      <w:pPr>
        <w:tabs>
          <w:tab w:val="left" w:pos="5445"/>
        </w:tabs>
      </w:pPr>
      <w:r>
        <w:t xml:space="preserve">Vær opmærksom på, at der </w:t>
      </w:r>
      <w:r w:rsidR="00E02A59">
        <w:t xml:space="preserve">typisk </w:t>
      </w:r>
      <w:r>
        <w:t>kigges på overskuddet før renter og skat.</w:t>
      </w:r>
    </w:p>
    <w:p w:rsidR="00DB3989" w:rsidRDefault="00DB3989" w:rsidP="00BD21C8">
      <w:pPr>
        <w:tabs>
          <w:tab w:val="left" w:pos="5445"/>
        </w:tabs>
      </w:pPr>
    </w:p>
    <w:p w:rsidR="004F2BC3" w:rsidRPr="00B7090F" w:rsidRDefault="00A76554" w:rsidP="00BD21C8">
      <w:pPr>
        <w:tabs>
          <w:tab w:val="left" w:pos="5445"/>
        </w:tabs>
        <w:rPr>
          <w:u w:val="single"/>
        </w:rPr>
      </w:pPr>
      <w:r w:rsidRPr="00B7090F">
        <w:rPr>
          <w:u w:val="single"/>
        </w:rPr>
        <w:t>Overskudsgraden forbedres når:</w:t>
      </w:r>
    </w:p>
    <w:p w:rsidR="00A76554" w:rsidRDefault="00A76554" w:rsidP="00293E98">
      <w:pPr>
        <w:pStyle w:val="Listeafsnit"/>
        <w:numPr>
          <w:ilvl w:val="0"/>
          <w:numId w:val="4"/>
        </w:numPr>
        <w:tabs>
          <w:tab w:val="left" w:pos="5445"/>
        </w:tabs>
      </w:pPr>
      <w:r>
        <w:t>Forholdet mellem omsætning og forbruget af omkostninger ↑, eller</w:t>
      </w:r>
    </w:p>
    <w:p w:rsidR="00A76554" w:rsidRDefault="00A76554" w:rsidP="00293E98">
      <w:pPr>
        <w:pStyle w:val="Listeafsnit"/>
        <w:numPr>
          <w:ilvl w:val="0"/>
          <w:numId w:val="4"/>
        </w:numPr>
        <w:tabs>
          <w:tab w:val="left" w:pos="5445"/>
        </w:tabs>
      </w:pPr>
      <w:r>
        <w:t xml:space="preserve">Indtægter stiger forholdsvist mere end omkostninger </w:t>
      </w:r>
    </w:p>
    <w:p w:rsidR="004F2BC3" w:rsidRPr="00CA253D" w:rsidRDefault="00CA253D" w:rsidP="00BD21C8">
      <w:pPr>
        <w:tabs>
          <w:tab w:val="left" w:pos="5445"/>
        </w:tabs>
        <w:rPr>
          <w:i/>
        </w:rPr>
      </w:pPr>
      <w:r>
        <w:rPr>
          <w:i/>
        </w:rPr>
        <w:t>En stigende overskudsgrad indikerer, at virksomheden bliver mere effektiv, da dens omkostninger til produktionen reduceres</w:t>
      </w:r>
    </w:p>
    <w:p w:rsidR="00CA253D" w:rsidRDefault="00CA253D" w:rsidP="00BD21C8">
      <w:pPr>
        <w:tabs>
          <w:tab w:val="left" w:pos="5445"/>
        </w:tabs>
      </w:pPr>
    </w:p>
    <w:p w:rsidR="00293E98" w:rsidRPr="00A07389" w:rsidRDefault="00293E98" w:rsidP="00293E98">
      <w:pPr>
        <w:tabs>
          <w:tab w:val="left" w:pos="5445"/>
        </w:tabs>
        <w:rPr>
          <w:u w:val="single"/>
        </w:rPr>
      </w:pPr>
      <w:r w:rsidRPr="00A07389">
        <w:rPr>
          <w:u w:val="single"/>
        </w:rPr>
        <w:t>Hvor findes data?</w:t>
      </w:r>
    </w:p>
    <w:p w:rsidR="00293E98" w:rsidRDefault="00293E98" w:rsidP="00293E98">
      <w:pPr>
        <w:pStyle w:val="Listeafsnit"/>
        <w:numPr>
          <w:ilvl w:val="0"/>
          <w:numId w:val="3"/>
        </w:numPr>
        <w:tabs>
          <w:tab w:val="left" w:pos="5445"/>
        </w:tabs>
      </w:pPr>
      <w:r w:rsidRPr="000A7679">
        <w:rPr>
          <w:i/>
        </w:rPr>
        <w:t>Resultat af primære drift / Resultat før finansielle omkostninger</w:t>
      </w:r>
      <w:r>
        <w:t xml:space="preserve"> findes i </w:t>
      </w:r>
      <w:r w:rsidRPr="00A07389">
        <w:rPr>
          <w:u w:val="single"/>
        </w:rPr>
        <w:t>resultatopgørelsen</w:t>
      </w:r>
    </w:p>
    <w:p w:rsidR="00950B34" w:rsidRDefault="00293E98" w:rsidP="00BD21C8">
      <w:pPr>
        <w:pStyle w:val="Listeafsnit"/>
        <w:numPr>
          <w:ilvl w:val="0"/>
          <w:numId w:val="3"/>
        </w:numPr>
        <w:tabs>
          <w:tab w:val="left" w:pos="5445"/>
        </w:tabs>
      </w:pPr>
      <w:r w:rsidRPr="000A7679">
        <w:rPr>
          <w:i/>
        </w:rPr>
        <w:t>Gennemsnitlige aktiver</w:t>
      </w:r>
      <w:r>
        <w:t xml:space="preserve"> findes i </w:t>
      </w:r>
      <w:r w:rsidRPr="00A07389">
        <w:rPr>
          <w:u w:val="single"/>
        </w:rPr>
        <w:t>balancen</w:t>
      </w:r>
    </w:p>
    <w:p w:rsidR="00950B34" w:rsidRDefault="00950B34" w:rsidP="00BD21C8">
      <w:pPr>
        <w:tabs>
          <w:tab w:val="left" w:pos="5445"/>
        </w:tabs>
        <w:rPr>
          <w:u w:val="single"/>
        </w:rPr>
      </w:pPr>
    </w:p>
    <w:p w:rsidR="00D72A2C" w:rsidRPr="00D72A2C" w:rsidRDefault="00D72A2C" w:rsidP="00BD21C8">
      <w:pPr>
        <w:tabs>
          <w:tab w:val="left" w:pos="5445"/>
        </w:tabs>
        <w:rPr>
          <w:u w:val="single"/>
        </w:rPr>
      </w:pPr>
      <w:r w:rsidRPr="00D72A2C">
        <w:rPr>
          <w:u w:val="single"/>
        </w:rPr>
        <w:t>Fortolkning:</w:t>
      </w:r>
    </w:p>
    <w:p w:rsidR="00D72A2C" w:rsidRPr="00D72A2C" w:rsidRDefault="00D72A2C" w:rsidP="00BD21C8">
      <w:pPr>
        <w:tabs>
          <w:tab w:val="left" w:pos="5445"/>
        </w:tabs>
        <w:rPr>
          <w:i/>
        </w:rPr>
      </w:pPr>
      <w:r>
        <w:rPr>
          <w:i/>
        </w:rPr>
        <w:t>En overskudsgrad på 15,6% betyder, at når en virksomhed sælger</w:t>
      </w:r>
      <w:r w:rsidR="00833EC4">
        <w:rPr>
          <w:i/>
        </w:rPr>
        <w:t>/omsætter for 100 kr. så er der 15,6 kr. tilbage efter at udgifter (undtaget fina</w:t>
      </w:r>
      <w:r w:rsidR="00C407E3">
        <w:rPr>
          <w:i/>
        </w:rPr>
        <w:t xml:space="preserve">nsielle omkostninger) er betalt </w:t>
      </w:r>
      <w:r w:rsidR="00C407E3" w:rsidRPr="00C407E3">
        <w:rPr>
          <w:i/>
        </w:rPr>
        <w:sym w:font="Wingdings" w:char="F0E0"/>
      </w:r>
      <w:r w:rsidR="00C407E3">
        <w:rPr>
          <w:i/>
        </w:rPr>
        <w:t xml:space="preserve"> eller der opnås en indtjening på 15,6 kr. for hver 100 kr. der omsættes for.</w:t>
      </w:r>
      <w:r w:rsidR="004B3E11">
        <w:rPr>
          <w:i/>
        </w:rPr>
        <w:t xml:space="preserve"> Omvendt må 84,6% gå til omkostninger.</w:t>
      </w:r>
    </w:p>
    <w:p w:rsidR="00FC62AB" w:rsidRPr="00057615" w:rsidRDefault="00C407E3" w:rsidP="00BD21C8">
      <w:pPr>
        <w:tabs>
          <w:tab w:val="left" w:pos="5445"/>
        </w:tabs>
        <w:rPr>
          <w:i/>
        </w:rPr>
      </w:pPr>
      <w:r>
        <w:rPr>
          <w:i/>
        </w:rPr>
        <w:lastRenderedPageBreak/>
        <w:t>Hvis overskudsgraden er steget fra 13,7% til 15,6%, så betyder det</w:t>
      </w:r>
      <w:r w:rsidR="00877A39">
        <w:rPr>
          <w:i/>
        </w:rPr>
        <w:t xml:space="preserve"> eksempelvis</w:t>
      </w:r>
      <w:r>
        <w:rPr>
          <w:i/>
        </w:rPr>
        <w:t xml:space="preserve">, at </w:t>
      </w:r>
      <w:r w:rsidR="004854AF">
        <w:rPr>
          <w:i/>
        </w:rPr>
        <w:t>virksomhedens indtjeningsevne</w:t>
      </w:r>
      <w:r>
        <w:rPr>
          <w:i/>
        </w:rPr>
        <w:t xml:space="preserve"> er forbedret med 1,9 procentpoint.</w:t>
      </w:r>
    </w:p>
    <w:p w:rsidR="00FC62AB" w:rsidRDefault="00FC62AB" w:rsidP="00BD21C8">
      <w:pPr>
        <w:tabs>
          <w:tab w:val="left" w:pos="5445"/>
        </w:tabs>
      </w:pPr>
    </w:p>
    <w:p w:rsidR="00BD21C8" w:rsidRDefault="00805893" w:rsidP="00822792">
      <w:pPr>
        <w:pStyle w:val="Overskrift2"/>
      </w:pPr>
      <w:r>
        <w:t xml:space="preserve">3. </w:t>
      </w:r>
      <w:r w:rsidR="00BD21C8">
        <w:t>Aktivernes omsætningshastighed</w:t>
      </w:r>
    </w:p>
    <w:p w:rsidR="00057615" w:rsidRDefault="00057615" w:rsidP="00BD21C8">
      <w:pPr>
        <w:tabs>
          <w:tab w:val="left" w:pos="5445"/>
        </w:tabs>
      </w:pPr>
      <w:r w:rsidRPr="00CC6292">
        <w:rPr>
          <w:i/>
        </w:rPr>
        <w:t>Aktivernes omsætningshastighed</w:t>
      </w:r>
      <w:r>
        <w:t xml:space="preserve"> </w:t>
      </w:r>
      <w:r w:rsidRPr="00E02A59">
        <w:rPr>
          <w:i/>
        </w:rPr>
        <w:t>(AOH)</w:t>
      </w:r>
      <w:r>
        <w:t xml:space="preserve"> er et nøgletal, der anvendes til at belyse </w:t>
      </w:r>
      <w:r w:rsidRPr="00057615">
        <w:rPr>
          <w:u w:val="single"/>
        </w:rPr>
        <w:t>virksomhedens kapitaltilpasningsevne</w:t>
      </w:r>
      <w:r w:rsidR="0099293F">
        <w:t>, og medregnes som en del af rentabilitetsanalysen.</w:t>
      </w:r>
      <w:r>
        <w:t xml:space="preserve"> Nøgletallet udregnes som følgende (enheden er g = gang pr. år):</w:t>
      </w:r>
    </w:p>
    <w:tbl>
      <w:tblPr>
        <w:tblW w:w="0" w:type="auto"/>
        <w:tblInd w:w="1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</w:tblGrid>
      <w:tr w:rsidR="00057615" w:rsidTr="00057615">
        <w:trPr>
          <w:trHeight w:val="534"/>
        </w:trPr>
        <w:tc>
          <w:tcPr>
            <w:tcW w:w="6663" w:type="dxa"/>
            <w:tcBorders>
              <w:bottom w:val="single" w:sz="4" w:space="0" w:color="auto"/>
            </w:tcBorders>
          </w:tcPr>
          <w:p w:rsidR="00057615" w:rsidRDefault="00057615" w:rsidP="00057615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Aktivernes omsætningshastighed=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Nettoomsætningen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Gennemsnitlige aktiver</m:t>
                    </m:r>
                  </m:den>
                </m:f>
              </m:oMath>
            </m:oMathPara>
          </w:p>
        </w:tc>
      </w:tr>
    </w:tbl>
    <w:p w:rsidR="00057615" w:rsidRDefault="00057615" w:rsidP="00BD21C8">
      <w:pPr>
        <w:tabs>
          <w:tab w:val="left" w:pos="5445"/>
        </w:tabs>
      </w:pPr>
    </w:p>
    <w:p w:rsidR="0099293F" w:rsidRDefault="0099293F" w:rsidP="00BD21C8">
      <w:pPr>
        <w:tabs>
          <w:tab w:val="left" w:pos="5445"/>
        </w:tabs>
      </w:pPr>
      <w:r>
        <w:t>Nøgletallet viser hvor stor en aktivitet (</w:t>
      </w:r>
      <w:r>
        <w:rPr>
          <w:i/>
        </w:rPr>
        <w:t>tæller)</w:t>
      </w:r>
      <w:r>
        <w:t>, der er skabt i virksomheden på baggrund af den investerede kapital (</w:t>
      </w:r>
      <w:r w:rsidRPr="0099293F">
        <w:rPr>
          <w:i/>
        </w:rPr>
        <w:t>nævneren</w:t>
      </w:r>
      <w:r>
        <w:t xml:space="preserve">) </w:t>
      </w:r>
      <w:r>
        <w:sym w:font="Wingdings" w:char="F0E0"/>
      </w:r>
      <w:r>
        <w:t xml:space="preserve"> eller, </w:t>
      </w:r>
      <w:r>
        <w:rPr>
          <w:i/>
        </w:rPr>
        <w:t>den mængde omsætning som er genereret pr. krone aktiv</w:t>
      </w:r>
      <w:r>
        <w:t>.</w:t>
      </w:r>
    </w:p>
    <w:p w:rsidR="00973A2C" w:rsidRDefault="0099293F" w:rsidP="00BD21C8">
      <w:pPr>
        <w:tabs>
          <w:tab w:val="left" w:pos="5445"/>
        </w:tabs>
      </w:pPr>
      <w:r>
        <w:t>Altså hvor godt udnytter virksomheden siden aktiver</w:t>
      </w:r>
      <w:r w:rsidR="006843A0">
        <w:t xml:space="preserve"> i skabelsen af omsætning, eller </w:t>
      </w:r>
      <w:r w:rsidR="006843A0">
        <w:rPr>
          <w:i/>
        </w:rPr>
        <w:t>hvor mange gange på ét år</w:t>
      </w:r>
      <w:r w:rsidR="00AF2907">
        <w:rPr>
          <w:i/>
        </w:rPr>
        <w:t>,</w:t>
      </w:r>
      <w:r w:rsidR="006843A0">
        <w:rPr>
          <w:i/>
        </w:rPr>
        <w:t xml:space="preserve"> et beløb svarende til aktivernes sa</w:t>
      </w:r>
      <w:r w:rsidR="00AF2907">
        <w:rPr>
          <w:i/>
        </w:rPr>
        <w:t>mlede værdi bliver omsat i virksomheden.</w:t>
      </w:r>
    </w:p>
    <w:p w:rsidR="00A927DF" w:rsidRDefault="00A927DF" w:rsidP="00BD21C8">
      <w:pPr>
        <w:tabs>
          <w:tab w:val="left" w:pos="5445"/>
        </w:tabs>
      </w:pPr>
      <w:r>
        <w:t xml:space="preserve">En vigtig </w:t>
      </w:r>
      <w:r w:rsidRPr="00AF2907">
        <w:rPr>
          <w:u w:val="single"/>
        </w:rPr>
        <w:t>forudsætning</w:t>
      </w:r>
      <w:r w:rsidR="0044299B">
        <w:t xml:space="preserve"> for dette nøgletal</w:t>
      </w:r>
      <w:r>
        <w:t xml:space="preserve"> er, at der ikke kan skabes overskud uden en omsætning (aktivitet).</w:t>
      </w:r>
    </w:p>
    <w:p w:rsidR="0099293F" w:rsidRPr="0099293F" w:rsidRDefault="0099293F" w:rsidP="00BD21C8">
      <w:pPr>
        <w:tabs>
          <w:tab w:val="left" w:pos="5445"/>
        </w:tabs>
      </w:pPr>
      <w:r>
        <w:t xml:space="preserve">Sammenligning mellem virksomheder </w:t>
      </w:r>
      <w:r w:rsidRPr="00AF2907">
        <w:rPr>
          <w:u w:val="single"/>
        </w:rPr>
        <w:t>bør kun</w:t>
      </w:r>
      <w:r>
        <w:t xml:space="preserve"> foretages såfremt virksomhederne a</w:t>
      </w:r>
      <w:r w:rsidR="00164F4A">
        <w:t>rbejder inden for samme branche.</w:t>
      </w:r>
    </w:p>
    <w:p w:rsidR="00057615" w:rsidRDefault="00057615" w:rsidP="00BD21C8">
      <w:pPr>
        <w:tabs>
          <w:tab w:val="left" w:pos="5445"/>
        </w:tabs>
      </w:pPr>
    </w:p>
    <w:p w:rsidR="005259FA" w:rsidRPr="00B7090F" w:rsidRDefault="005259FA" w:rsidP="005259FA">
      <w:pPr>
        <w:tabs>
          <w:tab w:val="left" w:pos="5445"/>
        </w:tabs>
        <w:rPr>
          <w:u w:val="single"/>
        </w:rPr>
      </w:pPr>
      <w:r>
        <w:rPr>
          <w:u w:val="single"/>
        </w:rPr>
        <w:t>Aktivernes omsætningshastighed</w:t>
      </w:r>
      <w:r w:rsidRPr="00B7090F">
        <w:rPr>
          <w:u w:val="single"/>
        </w:rPr>
        <w:t xml:space="preserve"> forbedres når:</w:t>
      </w:r>
    </w:p>
    <w:p w:rsidR="005259FA" w:rsidRDefault="005259FA" w:rsidP="005259FA">
      <w:pPr>
        <w:pStyle w:val="Listeafsnit"/>
        <w:numPr>
          <w:ilvl w:val="0"/>
          <w:numId w:val="5"/>
        </w:numPr>
        <w:tabs>
          <w:tab w:val="left" w:pos="5445"/>
        </w:tabs>
      </w:pPr>
      <w:r>
        <w:t xml:space="preserve">Forholdet mellem omsætning og </w:t>
      </w:r>
      <w:r w:rsidR="00164F4A">
        <w:t>gennemsnitlige aktiver</w:t>
      </w:r>
      <w:r>
        <w:t xml:space="preserve"> ↑</w:t>
      </w:r>
      <w:r w:rsidR="00164F4A">
        <w:t xml:space="preserve"> (altså omsætninger stiger mere end gennemsnitlige aktiver)</w:t>
      </w:r>
      <w:r w:rsidR="00A927DF">
        <w:t>, eller</w:t>
      </w:r>
    </w:p>
    <w:p w:rsidR="00A927DF" w:rsidRDefault="00CA12E9" w:rsidP="005259FA">
      <w:pPr>
        <w:pStyle w:val="Listeafsnit"/>
        <w:numPr>
          <w:ilvl w:val="0"/>
          <w:numId w:val="5"/>
        </w:numPr>
        <w:tabs>
          <w:tab w:val="left" w:pos="5445"/>
        </w:tabs>
      </w:pPr>
      <w:r>
        <w:t xml:space="preserve">Nettoomsætningen i </w:t>
      </w:r>
      <w:r w:rsidRPr="00CA12E9">
        <w:rPr>
          <w:i/>
        </w:rPr>
        <w:t>tælleren</w:t>
      </w:r>
      <w:r w:rsidR="005259FA">
        <w:t xml:space="preserve"> stiger</w:t>
      </w:r>
      <w:r w:rsidR="00A927DF">
        <w:t xml:space="preserve"> (fx højere salgspriser</w:t>
      </w:r>
      <w:r w:rsidR="00973A2C">
        <w:t>, større afsætning</w:t>
      </w:r>
      <w:r w:rsidR="00A927DF">
        <w:t>), eller</w:t>
      </w:r>
      <w:r w:rsidR="005259FA">
        <w:t xml:space="preserve"> </w:t>
      </w:r>
      <w:r w:rsidR="00A927DF">
        <w:t xml:space="preserve"> </w:t>
      </w:r>
    </w:p>
    <w:p w:rsidR="00A927DF" w:rsidRDefault="00A927DF" w:rsidP="005259FA">
      <w:pPr>
        <w:pStyle w:val="Listeafsnit"/>
        <w:numPr>
          <w:ilvl w:val="0"/>
          <w:numId w:val="5"/>
        </w:numPr>
        <w:tabs>
          <w:tab w:val="left" w:pos="5445"/>
        </w:tabs>
      </w:pPr>
      <w:r>
        <w:t>Mængde</w:t>
      </w:r>
      <w:r w:rsidR="00973A2C">
        <w:t>n af</w:t>
      </w:r>
      <w:r>
        <w:t xml:space="preserve"> aktiver reduceres</w:t>
      </w:r>
      <w:r w:rsidR="00CA12E9">
        <w:t xml:space="preserve"> (</w:t>
      </w:r>
      <w:r w:rsidR="00CA12E9" w:rsidRPr="00CA12E9">
        <w:rPr>
          <w:i/>
        </w:rPr>
        <w:t>nævneren</w:t>
      </w:r>
      <w:r w:rsidR="00CA12E9">
        <w:t>)</w:t>
      </w:r>
    </w:p>
    <w:p w:rsidR="005259FA" w:rsidRDefault="005259FA" w:rsidP="00A927DF">
      <w:pPr>
        <w:pStyle w:val="Listeafsnit"/>
        <w:tabs>
          <w:tab w:val="left" w:pos="5445"/>
        </w:tabs>
      </w:pPr>
    </w:p>
    <w:p w:rsidR="00973A2C" w:rsidRPr="00741D41" w:rsidRDefault="00973A2C" w:rsidP="00973A2C">
      <w:pPr>
        <w:tabs>
          <w:tab w:val="left" w:pos="5445"/>
        </w:tabs>
        <w:rPr>
          <w:i/>
        </w:rPr>
      </w:pPr>
      <w:r w:rsidRPr="00741D41">
        <w:rPr>
          <w:i/>
        </w:rPr>
        <w:t>Jo højere AOH desto bedre udnytter virksomheden sine aktiver</w:t>
      </w:r>
      <w:r w:rsidR="00741D41">
        <w:rPr>
          <w:i/>
        </w:rPr>
        <w:t xml:space="preserve">, og desto flere gange på </w:t>
      </w:r>
      <w:r w:rsidR="00EE3BEF">
        <w:rPr>
          <w:i/>
        </w:rPr>
        <w:t>é</w:t>
      </w:r>
      <w:r w:rsidR="00741D41">
        <w:rPr>
          <w:i/>
        </w:rPr>
        <w:t>t år bliver et beløb svarende til aktivernes samlede værdi omsat.</w:t>
      </w:r>
    </w:p>
    <w:p w:rsidR="005259FA" w:rsidRDefault="005259FA" w:rsidP="005259FA">
      <w:pPr>
        <w:tabs>
          <w:tab w:val="left" w:pos="5445"/>
        </w:tabs>
      </w:pPr>
    </w:p>
    <w:p w:rsidR="005259FA" w:rsidRPr="00A07389" w:rsidRDefault="005259FA" w:rsidP="005259FA">
      <w:pPr>
        <w:tabs>
          <w:tab w:val="left" w:pos="5445"/>
        </w:tabs>
        <w:rPr>
          <w:u w:val="single"/>
        </w:rPr>
      </w:pPr>
      <w:r w:rsidRPr="00A07389">
        <w:rPr>
          <w:u w:val="single"/>
        </w:rPr>
        <w:t>Hvor findes data?</w:t>
      </w:r>
    </w:p>
    <w:p w:rsidR="005259FA" w:rsidRDefault="000A7679" w:rsidP="005259FA">
      <w:pPr>
        <w:pStyle w:val="Listeafsnit"/>
        <w:numPr>
          <w:ilvl w:val="0"/>
          <w:numId w:val="3"/>
        </w:numPr>
        <w:tabs>
          <w:tab w:val="left" w:pos="5445"/>
        </w:tabs>
      </w:pPr>
      <w:r>
        <w:rPr>
          <w:i/>
        </w:rPr>
        <w:t>Nettoo</w:t>
      </w:r>
      <w:r w:rsidR="006843A0" w:rsidRPr="000A7679">
        <w:rPr>
          <w:i/>
        </w:rPr>
        <w:t>msætningen</w:t>
      </w:r>
      <w:r w:rsidR="005259FA">
        <w:t xml:space="preserve"> findes i </w:t>
      </w:r>
      <w:r w:rsidR="005259FA" w:rsidRPr="00A07389">
        <w:rPr>
          <w:u w:val="single"/>
        </w:rPr>
        <w:t>resultatopgørelsen</w:t>
      </w:r>
    </w:p>
    <w:p w:rsidR="005259FA" w:rsidRDefault="005259FA" w:rsidP="005259FA">
      <w:pPr>
        <w:pStyle w:val="Listeafsnit"/>
        <w:numPr>
          <w:ilvl w:val="0"/>
          <w:numId w:val="3"/>
        </w:numPr>
        <w:tabs>
          <w:tab w:val="left" w:pos="5445"/>
        </w:tabs>
      </w:pPr>
      <w:r w:rsidRPr="000A7679">
        <w:rPr>
          <w:i/>
        </w:rPr>
        <w:t>Gennemsnitlige aktiver</w:t>
      </w:r>
      <w:r>
        <w:t xml:space="preserve"> findes i </w:t>
      </w:r>
      <w:r w:rsidRPr="00A07389">
        <w:rPr>
          <w:u w:val="single"/>
        </w:rPr>
        <w:t>balancen</w:t>
      </w:r>
    </w:p>
    <w:p w:rsidR="00950B34" w:rsidRDefault="00950B34" w:rsidP="005259FA">
      <w:pPr>
        <w:tabs>
          <w:tab w:val="left" w:pos="5445"/>
        </w:tabs>
        <w:rPr>
          <w:u w:val="single"/>
        </w:rPr>
      </w:pPr>
    </w:p>
    <w:p w:rsidR="005259FA" w:rsidRPr="00D72A2C" w:rsidRDefault="005259FA" w:rsidP="005259FA">
      <w:pPr>
        <w:tabs>
          <w:tab w:val="left" w:pos="5445"/>
        </w:tabs>
        <w:rPr>
          <w:u w:val="single"/>
        </w:rPr>
      </w:pPr>
      <w:r w:rsidRPr="00D72A2C">
        <w:rPr>
          <w:u w:val="single"/>
        </w:rPr>
        <w:t>Fortolkning:</w:t>
      </w:r>
    </w:p>
    <w:p w:rsidR="005259FA" w:rsidRDefault="00EE3BEF" w:rsidP="00BD21C8">
      <w:pPr>
        <w:tabs>
          <w:tab w:val="left" w:pos="5445"/>
        </w:tabs>
        <w:rPr>
          <w:i/>
        </w:rPr>
      </w:pPr>
      <w:r>
        <w:rPr>
          <w:i/>
        </w:rPr>
        <w:t>En AOH på 2,05 g indikerer, at virksomheden opnår en omsætning på 205 kr. for hver gang virksomheden investerer 100 kr. i aktiver, hvilket betyder at aktivernes sum er mere end dobbelt omsat i løbet af året.</w:t>
      </w:r>
    </w:p>
    <w:p w:rsidR="005259FA" w:rsidRPr="00950B34" w:rsidRDefault="00EE3BEF" w:rsidP="00BD21C8">
      <w:pPr>
        <w:tabs>
          <w:tab w:val="left" w:pos="5445"/>
        </w:tabs>
        <w:rPr>
          <w:i/>
        </w:rPr>
      </w:pPr>
      <w:r>
        <w:rPr>
          <w:i/>
        </w:rPr>
        <w:t>En AOH under</w:t>
      </w:r>
      <w:r w:rsidR="00302775">
        <w:rPr>
          <w:i/>
        </w:rPr>
        <w:t xml:space="preserve"> 1,0 kan være</w:t>
      </w:r>
      <w:r w:rsidR="00901105">
        <w:rPr>
          <w:i/>
        </w:rPr>
        <w:t xml:space="preserve"> meget kritisabelt, men </w:t>
      </w:r>
      <w:r w:rsidR="00901105" w:rsidRPr="00901105">
        <w:rPr>
          <w:i/>
          <w:u w:val="single"/>
        </w:rPr>
        <w:t>skal</w:t>
      </w:r>
      <w:r w:rsidR="00901105">
        <w:rPr>
          <w:i/>
        </w:rPr>
        <w:t xml:space="preserve"> sammenholdes med branchetal.</w:t>
      </w:r>
      <w:r w:rsidR="00211A93">
        <w:rPr>
          <w:i/>
        </w:rPr>
        <w:t xml:space="preserve"> </w:t>
      </w:r>
    </w:p>
    <w:p w:rsidR="00AF2907" w:rsidRDefault="00805893" w:rsidP="00AF2907">
      <w:pPr>
        <w:pStyle w:val="Overskrift2"/>
      </w:pPr>
      <w:r>
        <w:lastRenderedPageBreak/>
        <w:t xml:space="preserve">4. </w:t>
      </w:r>
      <w:r w:rsidR="00AF2907">
        <w:t xml:space="preserve">Sammenhæng mellem AG, OG </w:t>
      </w:r>
      <w:proofErr w:type="spellStart"/>
      <w:r w:rsidR="00AF2907">
        <w:t>og</w:t>
      </w:r>
      <w:proofErr w:type="spellEnd"/>
      <w:r w:rsidR="00AF2907">
        <w:t xml:space="preserve"> AOH</w:t>
      </w:r>
    </w:p>
    <w:p w:rsidR="00AF2907" w:rsidRDefault="00AF2907" w:rsidP="00AF2907">
      <w:r w:rsidRPr="00CC6292">
        <w:rPr>
          <w:i/>
        </w:rPr>
        <w:t>Afkastningsgraden</w:t>
      </w:r>
      <w:r>
        <w:t xml:space="preserve"> kan </w:t>
      </w:r>
      <w:r w:rsidRPr="00AF2907">
        <w:rPr>
          <w:u w:val="single"/>
        </w:rPr>
        <w:t>også</w:t>
      </w:r>
      <w:r>
        <w:t xml:space="preserve"> beregnes som:</w:t>
      </w:r>
    </w:p>
    <w:tbl>
      <w:tblPr>
        <w:tblW w:w="0" w:type="auto"/>
        <w:tblInd w:w="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35"/>
      </w:tblGrid>
      <w:tr w:rsidR="00AF2907" w:rsidTr="00AF2907">
        <w:trPr>
          <w:trHeight w:val="375"/>
        </w:trPr>
        <w:tc>
          <w:tcPr>
            <w:tcW w:w="7335" w:type="dxa"/>
          </w:tcPr>
          <w:p w:rsidR="00AF2907" w:rsidRDefault="00AF2907" w:rsidP="00AF2907">
            <w:pPr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Afkastningsgrad=Overskudsgrad x Aktivernes omsætningshastighed</m:t>
                </m:r>
              </m:oMath>
            </m:oMathPara>
          </w:p>
        </w:tc>
      </w:tr>
    </w:tbl>
    <w:p w:rsidR="005259FA" w:rsidRDefault="005259FA" w:rsidP="00BD21C8">
      <w:pPr>
        <w:tabs>
          <w:tab w:val="left" w:pos="5445"/>
        </w:tabs>
      </w:pPr>
    </w:p>
    <w:p w:rsidR="00AF2907" w:rsidRDefault="00AF2907" w:rsidP="00BD21C8">
      <w:pPr>
        <w:tabs>
          <w:tab w:val="left" w:pos="5445"/>
        </w:tabs>
      </w:pPr>
      <w:r>
        <w:t>Dette kan udskrives som:</w:t>
      </w:r>
    </w:p>
    <w:p w:rsidR="00AF2907" w:rsidRDefault="00751A49" w:rsidP="00AF2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tabs>
          <w:tab w:val="left" w:pos="5445"/>
        </w:tabs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Resultat af primær drift</m:t>
              </m:r>
            </m:num>
            <m:den>
              <m:r>
                <w:rPr>
                  <w:rFonts w:ascii="Cambria Math" w:hAnsi="Cambria Math"/>
                </w:rPr>
                <m:t>Gennemsnitlige aktiver</m:t>
              </m:r>
            </m:den>
          </m:f>
          <m:r>
            <w:rPr>
              <w:rFonts w:ascii="Cambria Math" w:eastAsia="Calibri" w:hAnsi="Cambria Math" w:cs="Times New Roman"/>
            </w:rPr>
            <m:t>x100=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Resultat af primære drift</m:t>
              </m:r>
            </m:num>
            <m:den>
              <m:r>
                <w:rPr>
                  <w:rFonts w:ascii="Cambria Math" w:hAnsi="Cambria Math"/>
                  <w:strike/>
                </w:rPr>
                <m:t>Nettoomsætningen</m:t>
              </m:r>
            </m:den>
          </m:f>
          <m:r>
            <w:rPr>
              <w:rFonts w:ascii="Cambria Math" w:eastAsiaTheme="minorEastAsia" w:hAnsi="Cambria Math"/>
            </w:rPr>
            <m:t xml:space="preserve">x100  x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strike/>
                </w:rPr>
                <m:t>Nettoomsætningen</m:t>
              </m:r>
            </m:num>
            <m:den>
              <m:r>
                <w:rPr>
                  <w:rFonts w:ascii="Cambria Math" w:hAnsi="Cambria Math"/>
                </w:rPr>
                <m:t>Gennemsnitlige aktiver</m:t>
              </m:r>
            </m:den>
          </m:f>
          <m:r>
            <w:rPr>
              <w:rFonts w:ascii="Cambria Math" w:eastAsia="Calibri" w:hAnsi="Cambria Math" w:cs="Times New Roman"/>
            </w:rPr>
            <m:t xml:space="preserve"> </m:t>
          </m:r>
        </m:oMath>
      </m:oMathPara>
    </w:p>
    <w:p w:rsidR="005259FA" w:rsidRDefault="00AF2907" w:rsidP="00BD21C8">
      <w:pPr>
        <w:tabs>
          <w:tab w:val="left" w:pos="5445"/>
        </w:tabs>
      </w:pPr>
      <w:r>
        <w:t>Hvilket giver:</w:t>
      </w:r>
    </w:p>
    <w:tbl>
      <w:tblPr>
        <w:tblW w:w="0" w:type="auto"/>
        <w:tblInd w:w="1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30"/>
      </w:tblGrid>
      <w:tr w:rsidR="00AF2907" w:rsidTr="00AF2907">
        <w:trPr>
          <w:trHeight w:val="450"/>
        </w:trPr>
        <w:tc>
          <w:tcPr>
            <w:tcW w:w="6630" w:type="dxa"/>
          </w:tcPr>
          <w:p w:rsidR="00AF2907" w:rsidRDefault="00751A49" w:rsidP="00AF2907">
            <w:pPr>
              <w:tabs>
                <w:tab w:val="left" w:pos="5445"/>
              </w:tabs>
              <w:rPr>
                <w:rFonts w:ascii="Calibri" w:eastAsia="Calibri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Resultat af primær drift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Gennemsnitlige aktiver</m:t>
                    </m:r>
                  </m:den>
                </m:f>
                <m:r>
                  <w:rPr>
                    <w:rFonts w:ascii="Cambria Math" w:eastAsia="Calibri" w:hAnsi="Cambria Math" w:cs="Times New Roman"/>
                  </w:rPr>
                  <m:t>x100=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Resultat af primær drift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Gennemsnitlige aktiver</m:t>
                    </m:r>
                  </m:den>
                </m:f>
                <m:r>
                  <w:rPr>
                    <w:rFonts w:ascii="Cambria Math" w:eastAsia="Calibri" w:hAnsi="Cambria Math" w:cs="Times New Roman"/>
                  </w:rPr>
                  <m:t>x100</m:t>
                </m:r>
              </m:oMath>
            </m:oMathPara>
          </w:p>
        </w:tc>
      </w:tr>
    </w:tbl>
    <w:p w:rsidR="00057615" w:rsidRDefault="00057615" w:rsidP="00BD21C8">
      <w:pPr>
        <w:tabs>
          <w:tab w:val="left" w:pos="5445"/>
        </w:tabs>
      </w:pPr>
    </w:p>
    <w:p w:rsidR="000714F5" w:rsidRDefault="000714F5" w:rsidP="00BD21C8">
      <w:pPr>
        <w:tabs>
          <w:tab w:val="left" w:pos="5445"/>
        </w:tabs>
        <w:rPr>
          <w:i/>
        </w:rPr>
      </w:pPr>
      <w:r>
        <w:rPr>
          <w:i/>
        </w:rPr>
        <w:t>Altså kan afkastningsgraden påvirkes af både overskudsgraden og aktivernes omsætningshastighed.</w:t>
      </w:r>
    </w:p>
    <w:p w:rsidR="00302775" w:rsidRDefault="000714F5" w:rsidP="000714F5">
      <w:pPr>
        <w:tabs>
          <w:tab w:val="left" w:pos="5445"/>
        </w:tabs>
        <w:jc w:val="center"/>
        <w:rPr>
          <w:i/>
        </w:rPr>
      </w:pPr>
      <w:r w:rsidRPr="000714F5">
        <w:rPr>
          <w:i/>
          <w:noProof/>
          <w:lang w:eastAsia="da-DK"/>
        </w:rPr>
        <w:drawing>
          <wp:inline distT="0" distB="0" distL="0" distR="0" wp14:anchorId="087B5E70" wp14:editId="7FE29FAC">
            <wp:extent cx="3019311" cy="1362918"/>
            <wp:effectExtent l="0" t="0" r="0" b="8890"/>
            <wp:docPr id="4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 rotWithShape="1">
                    <a:blip r:embed="rId8"/>
                    <a:srcRect l="1556" t="59" r="3974" b="3487"/>
                    <a:stretch/>
                  </pic:blipFill>
                  <pic:spPr bwMode="auto">
                    <a:xfrm>
                      <a:off x="0" y="0"/>
                      <a:ext cx="3075222" cy="13881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14F5" w:rsidRPr="004240CA" w:rsidRDefault="00302775" w:rsidP="004240CA">
      <w:pPr>
        <w:tabs>
          <w:tab w:val="left" w:pos="5445"/>
        </w:tabs>
        <w:jc w:val="center"/>
        <w:rPr>
          <w:i/>
        </w:rPr>
      </w:pPr>
      <w:r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8D0028" wp14:editId="2B4BD5F9">
                <wp:simplePos x="0" y="0"/>
                <wp:positionH relativeFrom="column">
                  <wp:posOffset>3870960</wp:posOffset>
                </wp:positionH>
                <wp:positionV relativeFrom="paragraph">
                  <wp:posOffset>1985645</wp:posOffset>
                </wp:positionV>
                <wp:extent cx="457200" cy="352425"/>
                <wp:effectExtent l="0" t="0" r="19050" b="28575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24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584B71" id="Ellipse 2" o:spid="_x0000_s1026" style="position:absolute;margin-left:304.8pt;margin-top:156.35pt;width:36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" filled="f" strokecolor="red" strokeweight="1pt">
                <v:stroke joinstyle="miter"/>
              </v:oval>
            </w:pict>
          </mc:Fallback>
        </mc:AlternateContent>
      </w:r>
      <w:r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1746885</wp:posOffset>
                </wp:positionH>
                <wp:positionV relativeFrom="paragraph">
                  <wp:posOffset>99695</wp:posOffset>
                </wp:positionV>
                <wp:extent cx="609600" cy="171450"/>
                <wp:effectExtent l="0" t="0" r="19050" b="19050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171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19C398" id="Ellipse 1" o:spid="_x0000_s1026" style="position:absolute;margin-left:137.55pt;margin-top:7.85pt;width:48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" filled="f" strokecolor="red" strokeweight="1pt">
                <v:stroke joinstyle="miter"/>
              </v:oval>
            </w:pict>
          </mc:Fallback>
        </mc:AlternateContent>
      </w:r>
      <w:r w:rsidRPr="00302775">
        <w:rPr>
          <w:i/>
          <w:noProof/>
          <w:lang w:eastAsia="da-DK"/>
        </w:rPr>
        <w:drawing>
          <wp:inline distT="0" distB="0" distL="0" distR="0" wp14:anchorId="18745958" wp14:editId="42943CA4">
            <wp:extent cx="2585085" cy="2316865"/>
            <wp:effectExtent l="0" t="0" r="5715" b="762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8876" cy="232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B34" w:rsidRDefault="00950B34" w:rsidP="00822792">
      <w:pPr>
        <w:pStyle w:val="Overskrift2"/>
      </w:pPr>
    </w:p>
    <w:p w:rsidR="00950B34" w:rsidRDefault="00950B34" w:rsidP="00822792">
      <w:pPr>
        <w:pStyle w:val="Overskrift2"/>
        <w:rPr>
          <w:rFonts w:asciiTheme="minorHAnsi" w:eastAsiaTheme="minorHAnsi" w:hAnsiTheme="minorHAnsi" w:cstheme="minorBidi"/>
          <w:color w:val="auto"/>
          <w:sz w:val="22"/>
          <w:szCs w:val="22"/>
        </w:rPr>
      </w:pPr>
    </w:p>
    <w:p w:rsidR="00950B34" w:rsidRPr="00950B34" w:rsidRDefault="00950B34" w:rsidP="00950B34"/>
    <w:p w:rsidR="00BD21C8" w:rsidRDefault="00805893" w:rsidP="00822792">
      <w:pPr>
        <w:pStyle w:val="Overskrift2"/>
      </w:pPr>
      <w:r>
        <w:lastRenderedPageBreak/>
        <w:t xml:space="preserve">5. </w:t>
      </w:r>
      <w:r w:rsidR="00BD21C8">
        <w:t>Egenkapitalens forrentning</w:t>
      </w:r>
    </w:p>
    <w:p w:rsidR="00556113" w:rsidRDefault="00556113" w:rsidP="00BD21C8">
      <w:pPr>
        <w:tabs>
          <w:tab w:val="left" w:pos="5445"/>
        </w:tabs>
      </w:pPr>
      <w:r w:rsidRPr="00CC6292">
        <w:rPr>
          <w:i/>
        </w:rPr>
        <w:t>Egenkapitalens forrentning</w:t>
      </w:r>
      <w:r>
        <w:t xml:space="preserve"> </w:t>
      </w:r>
      <w:r w:rsidRPr="00E02A59">
        <w:rPr>
          <w:i/>
        </w:rPr>
        <w:t>(E</w:t>
      </w:r>
      <w:r w:rsidR="0037355D" w:rsidRPr="00E02A59">
        <w:rPr>
          <w:i/>
        </w:rPr>
        <w:t>K</w:t>
      </w:r>
      <w:r w:rsidRPr="00E02A59">
        <w:rPr>
          <w:i/>
        </w:rPr>
        <w:t>F)</w:t>
      </w:r>
      <w:r>
        <w:t xml:space="preserve"> er et nøgletal, der anvendes til at </w:t>
      </w:r>
      <w:r w:rsidR="0037355D">
        <w:t xml:space="preserve">belyse </w:t>
      </w:r>
      <w:r w:rsidR="0037355D" w:rsidRPr="0037355D">
        <w:rPr>
          <w:u w:val="single"/>
        </w:rPr>
        <w:t>ejernes forrentning af den investerede kapital</w:t>
      </w:r>
      <w:r w:rsidR="0037355D">
        <w:t xml:space="preserve">, og kan medregnes som en del af rentabilitetsanalysen. </w:t>
      </w:r>
      <w:r>
        <w:t xml:space="preserve">Nøgletallet udregnes som følgende (enheden er </w:t>
      </w:r>
      <w:r w:rsidR="0037355D">
        <w:t>%</w:t>
      </w:r>
      <w:r>
        <w:t>):</w:t>
      </w:r>
    </w:p>
    <w:tbl>
      <w:tblPr>
        <w:tblW w:w="0" w:type="auto"/>
        <w:tblInd w:w="1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</w:tblGrid>
      <w:tr w:rsidR="00556113" w:rsidTr="00E353DD">
        <w:trPr>
          <w:trHeight w:val="534"/>
        </w:trPr>
        <w:tc>
          <w:tcPr>
            <w:tcW w:w="6663" w:type="dxa"/>
            <w:tcBorders>
              <w:bottom w:val="single" w:sz="4" w:space="0" w:color="auto"/>
            </w:tcBorders>
          </w:tcPr>
          <w:p w:rsidR="00556113" w:rsidRDefault="00556113" w:rsidP="00556113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Egenkapitalens forrentning=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Resultat før skat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Gennemsnitlige egenkapital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x100</m:t>
                </m:r>
              </m:oMath>
            </m:oMathPara>
          </w:p>
        </w:tc>
      </w:tr>
    </w:tbl>
    <w:p w:rsidR="00556113" w:rsidRDefault="00556113" w:rsidP="00BD21C8">
      <w:pPr>
        <w:tabs>
          <w:tab w:val="left" w:pos="5445"/>
        </w:tabs>
      </w:pPr>
    </w:p>
    <w:tbl>
      <w:tblPr>
        <w:tblW w:w="0" w:type="auto"/>
        <w:tblInd w:w="1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</w:tblGrid>
      <w:tr w:rsidR="0037355D" w:rsidTr="00E353DD">
        <w:trPr>
          <w:trHeight w:val="534"/>
        </w:trPr>
        <w:tc>
          <w:tcPr>
            <w:tcW w:w="6663" w:type="dxa"/>
            <w:tcBorders>
              <w:bottom w:val="single" w:sz="4" w:space="0" w:color="auto"/>
            </w:tcBorders>
          </w:tcPr>
          <w:p w:rsidR="0037355D" w:rsidRDefault="0037355D" w:rsidP="0037355D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Egenkapitalens forrentning=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Resultat efter renter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Gennemsnitlige egenkapital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x100</m:t>
                </m:r>
              </m:oMath>
            </m:oMathPara>
          </w:p>
        </w:tc>
      </w:tr>
    </w:tbl>
    <w:p w:rsidR="0037355D" w:rsidRDefault="0037355D" w:rsidP="00BD21C8">
      <w:pPr>
        <w:tabs>
          <w:tab w:val="left" w:pos="5445"/>
        </w:tabs>
      </w:pPr>
    </w:p>
    <w:p w:rsidR="00636A98" w:rsidRDefault="00636A98" w:rsidP="00636A98">
      <w:pPr>
        <w:tabs>
          <w:tab w:val="left" w:pos="5445"/>
        </w:tabs>
      </w:pPr>
      <w:r w:rsidRPr="00636A98">
        <w:rPr>
          <w:i/>
        </w:rPr>
        <w:t>Resultat før skat</w:t>
      </w:r>
      <w:r>
        <w:t xml:space="preserve"> anvendes (</w:t>
      </w:r>
      <w:r w:rsidR="005F1399">
        <w:t>eller</w:t>
      </w:r>
      <w:r>
        <w:t xml:space="preserve"> </w:t>
      </w:r>
      <w:r w:rsidRPr="00636A98">
        <w:rPr>
          <w:i/>
        </w:rPr>
        <w:t>resultat efter renter</w:t>
      </w:r>
      <w:r>
        <w:t xml:space="preserve">) anvendes, da denne post går direkte til egenkapitalen mens renter </w:t>
      </w:r>
      <w:r w:rsidR="005F1399">
        <w:t>skal betales til gælden eller udstederne af gælden (= gældsforpligtelserne).</w:t>
      </w:r>
    </w:p>
    <w:p w:rsidR="00636A98" w:rsidRDefault="00636A98" w:rsidP="00BD21C8">
      <w:pPr>
        <w:tabs>
          <w:tab w:val="left" w:pos="5445"/>
        </w:tabs>
      </w:pPr>
    </w:p>
    <w:p w:rsidR="00636A98" w:rsidRDefault="00636A98" w:rsidP="00CC6292">
      <w:pPr>
        <w:tabs>
          <w:tab w:val="left" w:pos="5445"/>
        </w:tabs>
      </w:pPr>
      <w:r>
        <w:t xml:space="preserve">Da </w:t>
      </w:r>
      <w:r w:rsidRPr="005F1399">
        <w:t>egenkapitalen</w:t>
      </w:r>
      <w:r>
        <w:t xml:space="preserve"> er stillet til rådighed af virksomhedens ejere, så viser n</w:t>
      </w:r>
      <w:r w:rsidR="00CC6292">
        <w:t>øgletalle</w:t>
      </w:r>
      <w:r>
        <w:t xml:space="preserve">t </w:t>
      </w:r>
      <w:r w:rsidR="00CC6292">
        <w:t xml:space="preserve">altså den </w:t>
      </w:r>
      <w:r w:rsidR="00CC6292" w:rsidRPr="00636A98">
        <w:rPr>
          <w:u w:val="single"/>
        </w:rPr>
        <w:t>rente</w:t>
      </w:r>
      <w:r w:rsidR="00CC6292">
        <w:t xml:space="preserve"> som investeringen i virksomheden har givet virksomhedens ejere.</w:t>
      </w:r>
      <w:r w:rsidR="009D5E59">
        <w:t xml:space="preserve"> </w:t>
      </w:r>
    </w:p>
    <w:p w:rsidR="00CC6292" w:rsidRPr="009D5E59" w:rsidRDefault="009D5E59" w:rsidP="00CC6292">
      <w:pPr>
        <w:tabs>
          <w:tab w:val="left" w:pos="5445"/>
        </w:tabs>
      </w:pPr>
      <w:r>
        <w:t xml:space="preserve">Denne rente (= nøgletallet) bør sammenholdes med markedsrenten tillagt et risikotillæg – grundet den højere risiko ved at investere i en virksomhed frem for </w:t>
      </w:r>
      <w:r w:rsidR="00636A98">
        <w:t>eksempelvis danske</w:t>
      </w:r>
      <w:r>
        <w:t xml:space="preserve"> statsobligationer. </w:t>
      </w:r>
      <w:r w:rsidR="00040760">
        <w:t>Egenkapitals forrentningen kan ligeledes sammenlignes med afkastningsgraden – denne sammenligning kan vise hvorvidt virksomhedsejerne fik en ”fornuftig” forrentning sammenlignet med forrentningen af den samlede kapital.</w:t>
      </w:r>
    </w:p>
    <w:p w:rsidR="00556113" w:rsidRDefault="00556113" w:rsidP="00BD21C8">
      <w:pPr>
        <w:tabs>
          <w:tab w:val="left" w:pos="5445"/>
        </w:tabs>
      </w:pPr>
    </w:p>
    <w:p w:rsidR="00556113" w:rsidRPr="00B7090F" w:rsidRDefault="006444E5" w:rsidP="00556113">
      <w:pPr>
        <w:tabs>
          <w:tab w:val="left" w:pos="5445"/>
        </w:tabs>
        <w:rPr>
          <w:u w:val="single"/>
        </w:rPr>
      </w:pPr>
      <w:r>
        <w:rPr>
          <w:u w:val="single"/>
        </w:rPr>
        <w:t>Egenkapitalens forrentning</w:t>
      </w:r>
      <w:r w:rsidR="00556113" w:rsidRPr="00B7090F">
        <w:rPr>
          <w:u w:val="single"/>
        </w:rPr>
        <w:t xml:space="preserve"> forbedres når:</w:t>
      </w:r>
    </w:p>
    <w:p w:rsidR="00556113" w:rsidRDefault="00CA12E9" w:rsidP="006444E5">
      <w:pPr>
        <w:pStyle w:val="Listeafsnit"/>
        <w:numPr>
          <w:ilvl w:val="0"/>
          <w:numId w:val="6"/>
        </w:numPr>
        <w:tabs>
          <w:tab w:val="left" w:pos="5445"/>
        </w:tabs>
      </w:pPr>
      <w:r>
        <w:t xml:space="preserve">Nettoomsætningen stiger (= resultat efter renter) </w:t>
      </w:r>
      <w:r>
        <w:sym w:font="Wingdings" w:char="F0E0"/>
      </w:r>
      <w:r>
        <w:t xml:space="preserve"> fx </w:t>
      </w:r>
      <w:r w:rsidR="005F1399">
        <w:t>h</w:t>
      </w:r>
      <w:r>
        <w:t>vis øget afsætning, højere salgspriser, mindre variable omkostninger…</w:t>
      </w:r>
    </w:p>
    <w:p w:rsidR="006444E5" w:rsidRDefault="005F1399" w:rsidP="006444E5">
      <w:pPr>
        <w:pStyle w:val="Listeafsnit"/>
        <w:numPr>
          <w:ilvl w:val="0"/>
          <w:numId w:val="6"/>
        </w:numPr>
        <w:tabs>
          <w:tab w:val="left" w:pos="5445"/>
        </w:tabs>
      </w:pPr>
      <w:r>
        <w:t>Egenkapitalen i virksomheden reduceres</w:t>
      </w:r>
      <w:r w:rsidR="00CA12E9">
        <w:t xml:space="preserve"> (</w:t>
      </w:r>
      <w:r w:rsidR="00CA12E9" w:rsidRPr="00CA12E9">
        <w:rPr>
          <w:i/>
        </w:rPr>
        <w:t>nævneren</w:t>
      </w:r>
      <w:r w:rsidR="00CA12E9">
        <w:t>)</w:t>
      </w:r>
    </w:p>
    <w:p w:rsidR="00636A98" w:rsidRDefault="00636A98" w:rsidP="00556113">
      <w:pPr>
        <w:tabs>
          <w:tab w:val="left" w:pos="5445"/>
        </w:tabs>
        <w:rPr>
          <w:u w:val="single"/>
        </w:rPr>
      </w:pPr>
    </w:p>
    <w:p w:rsidR="00556113" w:rsidRPr="00A07389" w:rsidRDefault="00556113" w:rsidP="00556113">
      <w:pPr>
        <w:tabs>
          <w:tab w:val="left" w:pos="5445"/>
        </w:tabs>
        <w:rPr>
          <w:u w:val="single"/>
        </w:rPr>
      </w:pPr>
      <w:r w:rsidRPr="00A07389">
        <w:rPr>
          <w:u w:val="single"/>
        </w:rPr>
        <w:t>Hvor findes data?</w:t>
      </w:r>
    </w:p>
    <w:p w:rsidR="00636A98" w:rsidRDefault="00636A98" w:rsidP="00636A98">
      <w:pPr>
        <w:pStyle w:val="Listeafsnit"/>
        <w:numPr>
          <w:ilvl w:val="0"/>
          <w:numId w:val="3"/>
        </w:numPr>
        <w:tabs>
          <w:tab w:val="left" w:pos="5445"/>
        </w:tabs>
      </w:pPr>
      <w:r w:rsidRPr="00636A98">
        <w:rPr>
          <w:i/>
        </w:rPr>
        <w:t>Resultat før skat</w:t>
      </w:r>
      <w:r>
        <w:t xml:space="preserve"> / </w:t>
      </w:r>
      <w:r w:rsidRPr="00636A98">
        <w:rPr>
          <w:i/>
        </w:rPr>
        <w:t>resultat efter renter</w:t>
      </w:r>
      <w:r>
        <w:t xml:space="preserve"> findes i </w:t>
      </w:r>
      <w:r w:rsidRPr="00A07389">
        <w:rPr>
          <w:u w:val="single"/>
        </w:rPr>
        <w:t>resultatopgørelsen</w:t>
      </w:r>
    </w:p>
    <w:p w:rsidR="00636A98" w:rsidRDefault="00636A98" w:rsidP="00636A98">
      <w:pPr>
        <w:pStyle w:val="Listeafsnit"/>
        <w:numPr>
          <w:ilvl w:val="0"/>
          <w:numId w:val="3"/>
        </w:numPr>
        <w:tabs>
          <w:tab w:val="left" w:pos="5445"/>
        </w:tabs>
      </w:pPr>
      <w:r w:rsidRPr="000A7679">
        <w:rPr>
          <w:i/>
        </w:rPr>
        <w:t>Gennemsnitlige egenkapital</w:t>
      </w:r>
      <w:r>
        <w:t xml:space="preserve"> findes i </w:t>
      </w:r>
      <w:r w:rsidRPr="00A07389">
        <w:rPr>
          <w:u w:val="single"/>
        </w:rPr>
        <w:t>balancen</w:t>
      </w:r>
    </w:p>
    <w:p w:rsidR="00556113" w:rsidRDefault="00556113" w:rsidP="00BD21C8">
      <w:pPr>
        <w:tabs>
          <w:tab w:val="left" w:pos="5445"/>
        </w:tabs>
      </w:pPr>
    </w:p>
    <w:p w:rsidR="00556113" w:rsidRPr="00D72A2C" w:rsidRDefault="00556113" w:rsidP="00556113">
      <w:pPr>
        <w:tabs>
          <w:tab w:val="left" w:pos="5445"/>
        </w:tabs>
        <w:rPr>
          <w:u w:val="single"/>
        </w:rPr>
      </w:pPr>
      <w:r w:rsidRPr="00D72A2C">
        <w:rPr>
          <w:u w:val="single"/>
        </w:rPr>
        <w:t>Fortolkning:</w:t>
      </w:r>
    </w:p>
    <w:p w:rsidR="001F39AA" w:rsidRDefault="001F39AA" w:rsidP="001F39AA">
      <w:pPr>
        <w:tabs>
          <w:tab w:val="left" w:pos="5445"/>
        </w:tabs>
        <w:rPr>
          <w:i/>
        </w:rPr>
      </w:pPr>
      <w:r>
        <w:rPr>
          <w:i/>
        </w:rPr>
        <w:t>En egenkapitals forrentning på 39,0% betyder, at virksomhedens ejere opnår et afkast på 39 kr. for hver 100 kr. de investerer i virksomheden (= egenkapitalen). De 39,0% er altså virksomhedsejernes rente på deres investering.</w:t>
      </w:r>
    </w:p>
    <w:p w:rsidR="00556113" w:rsidRDefault="00556113" w:rsidP="00BD21C8">
      <w:pPr>
        <w:tabs>
          <w:tab w:val="left" w:pos="5445"/>
        </w:tabs>
      </w:pPr>
    </w:p>
    <w:p w:rsidR="00BD21C8" w:rsidRDefault="00805893" w:rsidP="00822792">
      <w:pPr>
        <w:pStyle w:val="Overskrift2"/>
      </w:pPr>
      <w:r>
        <w:lastRenderedPageBreak/>
        <w:t xml:space="preserve">6. </w:t>
      </w:r>
      <w:r w:rsidR="00BD21C8">
        <w:t>Gældsrente</w:t>
      </w:r>
    </w:p>
    <w:p w:rsidR="005F1399" w:rsidRDefault="005F1399" w:rsidP="00BD21C8">
      <w:pPr>
        <w:tabs>
          <w:tab w:val="left" w:pos="5445"/>
        </w:tabs>
      </w:pPr>
      <w:r w:rsidRPr="003136FB">
        <w:rPr>
          <w:i/>
        </w:rPr>
        <w:t>Gældsrenten</w:t>
      </w:r>
      <w:r w:rsidR="003136FB" w:rsidRPr="003136FB">
        <w:rPr>
          <w:i/>
        </w:rPr>
        <w:t xml:space="preserve"> (GR)</w:t>
      </w:r>
      <w:r w:rsidRPr="003136FB">
        <w:rPr>
          <w:i/>
        </w:rPr>
        <w:t xml:space="preserve"> </w:t>
      </w:r>
      <w:r w:rsidR="003136FB">
        <w:t xml:space="preserve">er et nøgletal, der anvendes til at belyse den rente som virksomheden </w:t>
      </w:r>
      <w:r w:rsidR="003136FB" w:rsidRPr="005F1399">
        <w:rPr>
          <w:u w:val="single"/>
        </w:rPr>
        <w:t>i gennemsnit</w:t>
      </w:r>
      <w:r w:rsidR="003136FB">
        <w:t xml:space="preserve"> betaler til gælden (= udstederne af gælden fx banker), og kan medregnes som en del af rentabilitetsanalysen. Nøgletallet udregnes som følgende (enheden er %):</w:t>
      </w:r>
    </w:p>
    <w:tbl>
      <w:tblPr>
        <w:tblW w:w="0" w:type="auto"/>
        <w:tblInd w:w="1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3"/>
      </w:tblGrid>
      <w:tr w:rsidR="005F1399" w:rsidTr="009A2975">
        <w:trPr>
          <w:trHeight w:val="534"/>
        </w:trPr>
        <w:tc>
          <w:tcPr>
            <w:tcW w:w="6133" w:type="dxa"/>
            <w:tcBorders>
              <w:bottom w:val="single" w:sz="4" w:space="0" w:color="auto"/>
            </w:tcBorders>
          </w:tcPr>
          <w:p w:rsidR="005F1399" w:rsidRDefault="005F1399" w:rsidP="005F1399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Gældsrenten=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Finansielle omkostninger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Gennemsnitlige gældsforpligtelser</m:t>
                    </m:r>
                  </m:den>
                </m:f>
                <m:r>
                  <w:rPr>
                    <w:rFonts w:ascii="Cambria Math" w:hAnsi="Cambria Math"/>
                  </w:rPr>
                  <m:t>x100</m:t>
                </m:r>
              </m:oMath>
            </m:oMathPara>
          </w:p>
        </w:tc>
      </w:tr>
    </w:tbl>
    <w:p w:rsidR="005F1399" w:rsidRDefault="005F1399" w:rsidP="005F1399">
      <w:pPr>
        <w:tabs>
          <w:tab w:val="left" w:pos="5445"/>
        </w:tabs>
      </w:pPr>
    </w:p>
    <w:tbl>
      <w:tblPr>
        <w:tblW w:w="0" w:type="auto"/>
        <w:tblInd w:w="2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5"/>
      </w:tblGrid>
      <w:tr w:rsidR="00253954" w:rsidTr="00253954">
        <w:trPr>
          <w:trHeight w:val="534"/>
        </w:trPr>
        <w:tc>
          <w:tcPr>
            <w:tcW w:w="5195" w:type="dxa"/>
            <w:tcBorders>
              <w:bottom w:val="single" w:sz="4" w:space="0" w:color="auto"/>
            </w:tcBorders>
          </w:tcPr>
          <w:p w:rsidR="00253954" w:rsidRDefault="00253954" w:rsidP="00253954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Gældsrenten=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Renteomkostninger (netto)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Gæld</m:t>
                    </m:r>
                  </m:den>
                </m:f>
                <m:r>
                  <w:rPr>
                    <w:rFonts w:ascii="Cambria Math" w:hAnsi="Cambria Math"/>
                  </w:rPr>
                  <m:t>x100</m:t>
                </m:r>
              </m:oMath>
            </m:oMathPara>
          </w:p>
        </w:tc>
      </w:tr>
    </w:tbl>
    <w:p w:rsidR="00253954" w:rsidRDefault="00253954" w:rsidP="005F1399">
      <w:pPr>
        <w:tabs>
          <w:tab w:val="left" w:pos="5445"/>
        </w:tabs>
      </w:pPr>
    </w:p>
    <w:p w:rsidR="005F1399" w:rsidRDefault="003136FB" w:rsidP="00BD21C8">
      <w:pPr>
        <w:tabs>
          <w:tab w:val="left" w:pos="5445"/>
        </w:tabs>
      </w:pPr>
      <w:r>
        <w:t xml:space="preserve">Vær opmærksom på, at gældsforpligtelser altså omfatter </w:t>
      </w:r>
      <w:r w:rsidR="005F1399">
        <w:t>summen</w:t>
      </w:r>
      <w:r>
        <w:t xml:space="preserve"> af</w:t>
      </w:r>
      <w:r w:rsidR="005F1399">
        <w:t xml:space="preserve"> </w:t>
      </w:r>
      <w:r w:rsidR="005F1399" w:rsidRPr="003136FB">
        <w:rPr>
          <w:i/>
        </w:rPr>
        <w:t>hensatte forpligtelser</w:t>
      </w:r>
      <w:r w:rsidR="005F1399">
        <w:t xml:space="preserve"> og </w:t>
      </w:r>
      <w:r w:rsidR="005F1399" w:rsidRPr="003136FB">
        <w:rPr>
          <w:i/>
        </w:rPr>
        <w:t>gældsforpligtelser</w:t>
      </w:r>
      <w:r>
        <w:t xml:space="preserve"> -</w:t>
      </w:r>
      <w:r w:rsidR="004B3E11">
        <w:t xml:space="preserve"> både kortfristede og langfristede.</w:t>
      </w:r>
      <w:r w:rsidR="00253954">
        <w:t xml:space="preserve"> Gældsrenten arbejder altså med fremmedkapitalen.</w:t>
      </w:r>
    </w:p>
    <w:p w:rsidR="004B3E11" w:rsidRDefault="004B3E11" w:rsidP="00BD21C8">
      <w:pPr>
        <w:tabs>
          <w:tab w:val="left" w:pos="5445"/>
        </w:tabs>
      </w:pPr>
      <w:r>
        <w:t xml:space="preserve">Er gældsrenten fx højere end afkastningsgraden (AG), så er der </w:t>
      </w:r>
      <w:r w:rsidRPr="0064048A">
        <w:rPr>
          <w:u w:val="single"/>
        </w:rPr>
        <w:t>et tab på gælden</w:t>
      </w:r>
      <w:r>
        <w:t xml:space="preserve">, og egenkapitalens forrentning (EKF) er dermed lavere </w:t>
      </w:r>
      <w:r w:rsidR="0064048A">
        <w:t xml:space="preserve">end afkastningsgraden. </w:t>
      </w:r>
    </w:p>
    <w:p w:rsidR="0064048A" w:rsidRDefault="0064048A" w:rsidP="00BD21C8">
      <w:pPr>
        <w:tabs>
          <w:tab w:val="left" w:pos="5445"/>
        </w:tabs>
      </w:pPr>
      <w:r>
        <w:t xml:space="preserve">Som beskrevet, så skal gældsrenten sammenlignes med afkastningsgraden, og forskellen mellem disse to nøgletalt er </w:t>
      </w:r>
      <w:r w:rsidRPr="00586BDF">
        <w:rPr>
          <w:i/>
          <w:u w:val="single"/>
        </w:rPr>
        <w:t>rentemarginalen</w:t>
      </w:r>
      <w:r>
        <w:t>:</w:t>
      </w:r>
    </w:p>
    <w:tbl>
      <w:tblPr>
        <w:tblW w:w="0" w:type="auto"/>
        <w:tblInd w:w="1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2"/>
      </w:tblGrid>
      <w:tr w:rsidR="00586BDF" w:rsidTr="00586BDF">
        <w:trPr>
          <w:trHeight w:val="534"/>
        </w:trPr>
        <w:tc>
          <w:tcPr>
            <w:tcW w:w="5762" w:type="dxa"/>
            <w:tcBorders>
              <w:bottom w:val="single" w:sz="4" w:space="0" w:color="auto"/>
            </w:tcBorders>
          </w:tcPr>
          <w:p w:rsidR="00586BDF" w:rsidRDefault="00586BDF" w:rsidP="00586BDF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Rentemarginalen=</m:t>
                </m:r>
                <m:r>
                  <w:rPr>
                    <w:rFonts w:ascii="Cambria Math" w:hAnsi="Cambria Math"/>
                  </w:rPr>
                  <m:t>Afkastningsgraden-Gældsrenten</m:t>
                </m:r>
              </m:oMath>
            </m:oMathPara>
          </w:p>
        </w:tc>
      </w:tr>
    </w:tbl>
    <w:p w:rsidR="0064048A" w:rsidRDefault="0064048A" w:rsidP="00BD21C8">
      <w:pPr>
        <w:tabs>
          <w:tab w:val="left" w:pos="5445"/>
        </w:tabs>
      </w:pPr>
    </w:p>
    <w:p w:rsidR="00586BDF" w:rsidRDefault="00586BDF" w:rsidP="00BD21C8">
      <w:pPr>
        <w:tabs>
          <w:tab w:val="left" w:pos="5445"/>
        </w:tabs>
      </w:pPr>
      <w:r>
        <w:t xml:space="preserve">Rentemarginalen belyser altså hvor meget afkastningsgraden dækker gældsrenten. Jo højere rentemarginalen er desto mere tjener egenkapitalen på fremmedkapitalen – altså </w:t>
      </w:r>
      <w:r w:rsidR="00E05385">
        <w:t xml:space="preserve">vil optagelsen af gæld skabe afkast for virksomheden, hvis rentemarginalen er positiv. </w:t>
      </w:r>
    </w:p>
    <w:p w:rsidR="004B3E11" w:rsidRDefault="004B3E11" w:rsidP="00BD21C8">
      <w:pPr>
        <w:tabs>
          <w:tab w:val="left" w:pos="5445"/>
        </w:tabs>
      </w:pPr>
    </w:p>
    <w:p w:rsidR="00556113" w:rsidRPr="00B7090F" w:rsidRDefault="005F1399" w:rsidP="00556113">
      <w:pPr>
        <w:tabs>
          <w:tab w:val="left" w:pos="5445"/>
        </w:tabs>
        <w:rPr>
          <w:u w:val="single"/>
        </w:rPr>
      </w:pPr>
      <w:r>
        <w:rPr>
          <w:u w:val="single"/>
        </w:rPr>
        <w:t>Gældsrenten</w:t>
      </w:r>
      <w:r w:rsidR="00556113" w:rsidRPr="00B7090F">
        <w:rPr>
          <w:u w:val="single"/>
        </w:rPr>
        <w:t xml:space="preserve"> forbedres når:</w:t>
      </w:r>
    </w:p>
    <w:p w:rsidR="00556113" w:rsidRDefault="00586BDF" w:rsidP="00586BDF">
      <w:pPr>
        <w:pStyle w:val="Listeafsnit"/>
        <w:numPr>
          <w:ilvl w:val="0"/>
          <w:numId w:val="7"/>
        </w:numPr>
        <w:tabs>
          <w:tab w:val="left" w:pos="5445"/>
        </w:tabs>
      </w:pPr>
      <w:r>
        <w:t>De finansielle omkostninger reduceres (</w:t>
      </w:r>
      <w:r w:rsidRPr="00586BDF">
        <w:rPr>
          <w:i/>
        </w:rPr>
        <w:t>tæller</w:t>
      </w:r>
      <w:r>
        <w:t>) – bl.a. ved at skifte til mere langfristede lån</w:t>
      </w:r>
    </w:p>
    <w:p w:rsidR="00586BDF" w:rsidRDefault="00586BDF" w:rsidP="00586BDF">
      <w:pPr>
        <w:pStyle w:val="Listeafsnit"/>
        <w:numPr>
          <w:ilvl w:val="0"/>
          <w:numId w:val="7"/>
        </w:numPr>
        <w:tabs>
          <w:tab w:val="left" w:pos="5445"/>
        </w:tabs>
      </w:pPr>
      <w:r>
        <w:t>Gælden i virksomheden reduceres (</w:t>
      </w:r>
      <w:r w:rsidRPr="00586BDF">
        <w:rPr>
          <w:i/>
        </w:rPr>
        <w:t>nævner</w:t>
      </w:r>
      <w:r>
        <w:t>)</w:t>
      </w:r>
    </w:p>
    <w:p w:rsidR="000A7679" w:rsidRDefault="000A7679" w:rsidP="00556113">
      <w:pPr>
        <w:tabs>
          <w:tab w:val="left" w:pos="5445"/>
        </w:tabs>
        <w:rPr>
          <w:u w:val="single"/>
        </w:rPr>
      </w:pPr>
    </w:p>
    <w:p w:rsidR="00556113" w:rsidRPr="00A07389" w:rsidRDefault="00556113" w:rsidP="00556113">
      <w:pPr>
        <w:tabs>
          <w:tab w:val="left" w:pos="5445"/>
        </w:tabs>
        <w:rPr>
          <w:u w:val="single"/>
        </w:rPr>
      </w:pPr>
      <w:r w:rsidRPr="00A07389">
        <w:rPr>
          <w:u w:val="single"/>
        </w:rPr>
        <w:t>Hvor findes data?</w:t>
      </w:r>
    </w:p>
    <w:p w:rsidR="000A7679" w:rsidRDefault="000A7679" w:rsidP="000A7679">
      <w:pPr>
        <w:pStyle w:val="Listeafsnit"/>
        <w:numPr>
          <w:ilvl w:val="0"/>
          <w:numId w:val="3"/>
        </w:numPr>
        <w:tabs>
          <w:tab w:val="left" w:pos="5445"/>
        </w:tabs>
      </w:pPr>
      <w:r>
        <w:rPr>
          <w:i/>
        </w:rPr>
        <w:t>Finansielle omkostninger</w:t>
      </w:r>
      <w:r>
        <w:t xml:space="preserve"> findes i </w:t>
      </w:r>
      <w:r w:rsidRPr="00A07389">
        <w:rPr>
          <w:u w:val="single"/>
        </w:rPr>
        <w:t>resultatopgørelsen</w:t>
      </w:r>
    </w:p>
    <w:p w:rsidR="000A7679" w:rsidRDefault="000A7679" w:rsidP="000A7679">
      <w:pPr>
        <w:pStyle w:val="Listeafsnit"/>
        <w:numPr>
          <w:ilvl w:val="0"/>
          <w:numId w:val="3"/>
        </w:numPr>
        <w:tabs>
          <w:tab w:val="left" w:pos="5445"/>
        </w:tabs>
      </w:pPr>
      <w:r w:rsidRPr="00297FB6">
        <w:rPr>
          <w:i/>
        </w:rPr>
        <w:t xml:space="preserve">Gennemsnitlige </w:t>
      </w:r>
      <w:r w:rsidR="00297FB6">
        <w:rPr>
          <w:i/>
        </w:rPr>
        <w:t>gældsforpligtelser</w:t>
      </w:r>
      <w:r>
        <w:t xml:space="preserve"> findes i </w:t>
      </w:r>
      <w:r w:rsidRPr="00A07389">
        <w:rPr>
          <w:u w:val="single"/>
        </w:rPr>
        <w:t>balancen</w:t>
      </w:r>
    </w:p>
    <w:p w:rsidR="00556113" w:rsidRDefault="00556113" w:rsidP="00556113">
      <w:pPr>
        <w:tabs>
          <w:tab w:val="left" w:pos="5445"/>
        </w:tabs>
      </w:pPr>
    </w:p>
    <w:p w:rsidR="00556113" w:rsidRPr="00D72A2C" w:rsidRDefault="00556113" w:rsidP="00556113">
      <w:pPr>
        <w:tabs>
          <w:tab w:val="left" w:pos="5445"/>
        </w:tabs>
        <w:rPr>
          <w:u w:val="single"/>
        </w:rPr>
      </w:pPr>
      <w:r w:rsidRPr="00D72A2C">
        <w:rPr>
          <w:u w:val="single"/>
        </w:rPr>
        <w:t>Fortolkning:</w:t>
      </w:r>
    </w:p>
    <w:p w:rsidR="00253954" w:rsidRDefault="00253954" w:rsidP="00253954">
      <w:pPr>
        <w:tabs>
          <w:tab w:val="left" w:pos="5445"/>
        </w:tabs>
        <w:rPr>
          <w:i/>
        </w:rPr>
      </w:pPr>
      <w:r>
        <w:rPr>
          <w:i/>
        </w:rPr>
        <w:t xml:space="preserve">En gældsrente på 8,0% betyder, at virksomheden i gennemsnit betaler 8,0% på sine samlede gældsforpligtelser, altså </w:t>
      </w:r>
      <w:r w:rsidR="005333AC">
        <w:rPr>
          <w:i/>
        </w:rPr>
        <w:t>fremmedkapitalen (kortfristede – og langfristede gældsforpligtelser)</w:t>
      </w:r>
    </w:p>
    <w:p w:rsidR="00556113" w:rsidRDefault="00556113" w:rsidP="00BD21C8">
      <w:pPr>
        <w:tabs>
          <w:tab w:val="left" w:pos="5445"/>
        </w:tabs>
      </w:pPr>
    </w:p>
    <w:p w:rsidR="00BD21C8" w:rsidRDefault="00805893" w:rsidP="00822792">
      <w:pPr>
        <w:pStyle w:val="Overskrift2"/>
      </w:pPr>
      <w:r>
        <w:lastRenderedPageBreak/>
        <w:t xml:space="preserve">7. </w:t>
      </w:r>
      <w:r w:rsidR="00BD21C8">
        <w:t xml:space="preserve">Soliditetsgrad </w:t>
      </w:r>
    </w:p>
    <w:p w:rsidR="00BD21C8" w:rsidRDefault="00950B34" w:rsidP="00BD21C8">
      <w:pPr>
        <w:tabs>
          <w:tab w:val="left" w:pos="5445"/>
        </w:tabs>
      </w:pPr>
      <w:r>
        <w:rPr>
          <w:i/>
        </w:rPr>
        <w:t>Soliditetsgraden (SG)</w:t>
      </w:r>
      <w:r w:rsidRPr="003136FB">
        <w:rPr>
          <w:i/>
        </w:rPr>
        <w:t xml:space="preserve"> </w:t>
      </w:r>
      <w:r>
        <w:t>er et nøgletal, der anvendes til at belyse virksomhedens evne til at modstå tab. Nøgletallet udregnes som følgende (enheden er %):</w:t>
      </w:r>
    </w:p>
    <w:tbl>
      <w:tblPr>
        <w:tblW w:w="0" w:type="auto"/>
        <w:tblInd w:w="2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8"/>
      </w:tblGrid>
      <w:tr w:rsidR="004B3E11" w:rsidTr="00950B34">
        <w:trPr>
          <w:trHeight w:val="534"/>
        </w:trPr>
        <w:tc>
          <w:tcPr>
            <w:tcW w:w="4148" w:type="dxa"/>
            <w:tcBorders>
              <w:bottom w:val="single" w:sz="4" w:space="0" w:color="auto"/>
            </w:tcBorders>
          </w:tcPr>
          <w:p w:rsidR="004B3E11" w:rsidRDefault="004B3E11" w:rsidP="004B3E11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Soliditetsgrad=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Egenkapital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Aktiver</m:t>
                    </m:r>
                  </m:den>
                </m:f>
                <m:r>
                  <w:rPr>
                    <w:rFonts w:ascii="Cambria Math" w:hAnsi="Cambria Math"/>
                  </w:rPr>
                  <m:t>x100</m:t>
                </m:r>
              </m:oMath>
            </m:oMathPara>
          </w:p>
        </w:tc>
      </w:tr>
    </w:tbl>
    <w:p w:rsidR="004B3E11" w:rsidRDefault="004B3E11" w:rsidP="00BD21C8">
      <w:pPr>
        <w:tabs>
          <w:tab w:val="left" w:pos="5445"/>
        </w:tabs>
      </w:pPr>
    </w:p>
    <w:p w:rsidR="006948DD" w:rsidRDefault="006948DD" w:rsidP="00BD21C8">
      <w:pPr>
        <w:tabs>
          <w:tab w:val="left" w:pos="5445"/>
        </w:tabs>
      </w:pPr>
      <w:r w:rsidRPr="006948DD">
        <w:rPr>
          <w:i/>
        </w:rPr>
        <w:t>Soliditetsgraden</w:t>
      </w:r>
      <w:r>
        <w:t xml:space="preserve"> viser hvor stor en andel virksomhedens samlede aktiver, som er finansieret via egenkapitalen (altså finansieret igennem ejerne).</w:t>
      </w:r>
    </w:p>
    <w:p w:rsidR="006948DD" w:rsidRDefault="006948DD" w:rsidP="00BD21C8">
      <w:pPr>
        <w:tabs>
          <w:tab w:val="left" w:pos="5445"/>
        </w:tabs>
      </w:pPr>
      <w:r>
        <w:t xml:space="preserve">Tankegangen med soliditetsgraden er, at eksterne långivere (fremmedkapitalen) først lider et tab når egenkapitalen er opbrugt. </w:t>
      </w:r>
    </w:p>
    <w:p w:rsidR="006948DD" w:rsidRDefault="006948DD" w:rsidP="00BD21C8">
      <w:pPr>
        <w:tabs>
          <w:tab w:val="left" w:pos="5445"/>
        </w:tabs>
      </w:pPr>
      <w:r>
        <w:t xml:space="preserve">En lav </w:t>
      </w:r>
      <w:r w:rsidRPr="00404875">
        <w:rPr>
          <w:i/>
        </w:rPr>
        <w:t>soliditetsgrad</w:t>
      </w:r>
      <w:r>
        <w:t xml:space="preserve"> indikerer, at en lille andel virksomhedens samlede aktiver er finansieret via egenkapitalen, hvilket medfører en større risiko for at eksterne långivere lider tab, fx i </w:t>
      </w:r>
      <w:r w:rsidR="00404875">
        <w:t xml:space="preserve">tilfælde af </w:t>
      </w:r>
      <w:r>
        <w:t xml:space="preserve">en konkurs. En lav </w:t>
      </w:r>
      <w:r w:rsidRPr="00404875">
        <w:rPr>
          <w:i/>
        </w:rPr>
        <w:t>soliditetsgrad</w:t>
      </w:r>
      <w:r>
        <w:t xml:space="preserve"> betyder også, at der er en højere risiko for nye långivere, og virksomheden dermed (højst sandsynligt) vil opleve dårligere</w:t>
      </w:r>
      <w:r w:rsidR="00404875">
        <w:t xml:space="preserve"> fremtidige</w:t>
      </w:r>
      <w:r>
        <w:t xml:space="preserve"> lånebetingelser (= højere renteomk</w:t>
      </w:r>
      <w:r w:rsidR="00404875">
        <w:t>ostninger</w:t>
      </w:r>
      <w:r>
        <w:t>)</w:t>
      </w:r>
      <w:r w:rsidR="00404875">
        <w:t>.</w:t>
      </w:r>
    </w:p>
    <w:p w:rsidR="004B3E11" w:rsidRDefault="004B3E11" w:rsidP="00BD21C8">
      <w:pPr>
        <w:tabs>
          <w:tab w:val="left" w:pos="5445"/>
        </w:tabs>
      </w:pPr>
    </w:p>
    <w:p w:rsidR="00404875" w:rsidRDefault="00404875" w:rsidP="00BD21C8">
      <w:pPr>
        <w:tabs>
          <w:tab w:val="left" w:pos="5445"/>
        </w:tabs>
      </w:pPr>
      <w:r>
        <w:t xml:space="preserve">En fornuftig soliditetsgrad (i veletablerede og/eller større virksomheder) ligger på omkring </w:t>
      </w:r>
      <w:r w:rsidR="00497953">
        <w:t xml:space="preserve">30%-40%, mens den naturligvis kan være noget lavere i mere nyetablerede virksomheder. </w:t>
      </w:r>
    </w:p>
    <w:p w:rsidR="00404875" w:rsidRDefault="00404875" w:rsidP="00BD21C8">
      <w:pPr>
        <w:tabs>
          <w:tab w:val="left" w:pos="5445"/>
        </w:tabs>
      </w:pPr>
    </w:p>
    <w:p w:rsidR="00556113" w:rsidRPr="00B7090F" w:rsidRDefault="005F1399" w:rsidP="00556113">
      <w:pPr>
        <w:tabs>
          <w:tab w:val="left" w:pos="5445"/>
        </w:tabs>
        <w:rPr>
          <w:u w:val="single"/>
        </w:rPr>
      </w:pPr>
      <w:r>
        <w:rPr>
          <w:u w:val="single"/>
        </w:rPr>
        <w:t>Soliditetsgraden</w:t>
      </w:r>
      <w:r w:rsidR="00556113" w:rsidRPr="00B7090F">
        <w:rPr>
          <w:u w:val="single"/>
        </w:rPr>
        <w:t xml:space="preserve"> forbedres når:</w:t>
      </w:r>
    </w:p>
    <w:p w:rsidR="00497953" w:rsidRDefault="00497953" w:rsidP="00497953">
      <w:pPr>
        <w:pStyle w:val="Listeafsnit"/>
        <w:numPr>
          <w:ilvl w:val="0"/>
          <w:numId w:val="8"/>
        </w:numPr>
        <w:tabs>
          <w:tab w:val="left" w:pos="5445"/>
        </w:tabs>
      </w:pPr>
      <w:r>
        <w:t>Finansiering via egenkapital fra virksomhedens ejere øges (</w:t>
      </w:r>
      <w:r w:rsidRPr="00497953">
        <w:rPr>
          <w:i/>
        </w:rPr>
        <w:t>tæller</w:t>
      </w:r>
      <w:r>
        <w:t>) og udgøre en markant større andel af samlede aktiver</w:t>
      </w:r>
    </w:p>
    <w:p w:rsidR="00497953" w:rsidRDefault="00497953" w:rsidP="00497953">
      <w:pPr>
        <w:pStyle w:val="Listeafsnit"/>
        <w:numPr>
          <w:ilvl w:val="0"/>
          <w:numId w:val="8"/>
        </w:numPr>
        <w:tabs>
          <w:tab w:val="left" w:pos="5445"/>
        </w:tabs>
      </w:pPr>
      <w:r>
        <w:t>Mængden af aktiver (finansieret via fremmedkapital) reduceres, uden at egenkapitalen reduceres (</w:t>
      </w:r>
      <w:r w:rsidRPr="00497953">
        <w:rPr>
          <w:i/>
        </w:rPr>
        <w:t>nævner</w:t>
      </w:r>
      <w:r>
        <w:t>)</w:t>
      </w:r>
    </w:p>
    <w:p w:rsidR="00556113" w:rsidRDefault="00556113" w:rsidP="00556113">
      <w:pPr>
        <w:tabs>
          <w:tab w:val="left" w:pos="5445"/>
        </w:tabs>
      </w:pPr>
    </w:p>
    <w:p w:rsidR="00556113" w:rsidRPr="00A07389" w:rsidRDefault="00556113" w:rsidP="00556113">
      <w:pPr>
        <w:tabs>
          <w:tab w:val="left" w:pos="5445"/>
        </w:tabs>
        <w:rPr>
          <w:u w:val="single"/>
        </w:rPr>
      </w:pPr>
      <w:r w:rsidRPr="00A07389">
        <w:rPr>
          <w:u w:val="single"/>
        </w:rPr>
        <w:t>Hvor findes data?</w:t>
      </w:r>
    </w:p>
    <w:p w:rsidR="00497953" w:rsidRDefault="00497953" w:rsidP="00497953">
      <w:pPr>
        <w:pStyle w:val="Listeafsnit"/>
        <w:numPr>
          <w:ilvl w:val="0"/>
          <w:numId w:val="3"/>
        </w:numPr>
        <w:tabs>
          <w:tab w:val="left" w:pos="5445"/>
        </w:tabs>
      </w:pPr>
      <w:r>
        <w:rPr>
          <w:i/>
        </w:rPr>
        <w:t>Egenkapitalen</w:t>
      </w:r>
      <w:r>
        <w:t xml:space="preserve"> findes i </w:t>
      </w:r>
      <w:r>
        <w:rPr>
          <w:u w:val="single"/>
        </w:rPr>
        <w:t>balancen</w:t>
      </w:r>
    </w:p>
    <w:p w:rsidR="00497953" w:rsidRDefault="00497953" w:rsidP="00497953">
      <w:pPr>
        <w:pStyle w:val="Listeafsnit"/>
        <w:numPr>
          <w:ilvl w:val="0"/>
          <w:numId w:val="3"/>
        </w:numPr>
        <w:tabs>
          <w:tab w:val="left" w:pos="5445"/>
        </w:tabs>
      </w:pPr>
      <w:r>
        <w:rPr>
          <w:i/>
        </w:rPr>
        <w:t>Aktiver</w:t>
      </w:r>
      <w:r>
        <w:t xml:space="preserve"> findes i </w:t>
      </w:r>
      <w:r w:rsidRPr="00A07389">
        <w:rPr>
          <w:u w:val="single"/>
        </w:rPr>
        <w:t>balancen</w:t>
      </w:r>
    </w:p>
    <w:p w:rsidR="00556113" w:rsidRDefault="00556113" w:rsidP="00556113">
      <w:pPr>
        <w:tabs>
          <w:tab w:val="left" w:pos="5445"/>
        </w:tabs>
      </w:pPr>
    </w:p>
    <w:p w:rsidR="00556113" w:rsidRPr="00D72A2C" w:rsidRDefault="00556113" w:rsidP="00556113">
      <w:pPr>
        <w:tabs>
          <w:tab w:val="left" w:pos="5445"/>
        </w:tabs>
        <w:rPr>
          <w:u w:val="single"/>
        </w:rPr>
      </w:pPr>
      <w:r w:rsidRPr="00D72A2C">
        <w:rPr>
          <w:u w:val="single"/>
        </w:rPr>
        <w:t>Fortolkning:</w:t>
      </w:r>
    </w:p>
    <w:p w:rsidR="008A00A9" w:rsidRDefault="008A00A9" w:rsidP="008A00A9">
      <w:pPr>
        <w:tabs>
          <w:tab w:val="left" w:pos="5445"/>
        </w:tabs>
        <w:rPr>
          <w:i/>
        </w:rPr>
      </w:pPr>
      <w:r>
        <w:rPr>
          <w:i/>
        </w:rPr>
        <w:t>En soliditetsgrad på 36,0% betyder, at 36 kr. ud af hver 100 kr. investeret i virksomheden, var investeret via egenkapitalen og dermed kom fra virksomhedens ejere. Med andre ord, så kan virksomheden altså tåle at tabe 36,0% af aktivernes værdi før (eksterne) långivere begynder at lide tab.</w:t>
      </w:r>
    </w:p>
    <w:p w:rsidR="00D9484F" w:rsidRDefault="00D9484F" w:rsidP="008A00A9">
      <w:pPr>
        <w:tabs>
          <w:tab w:val="left" w:pos="5445"/>
        </w:tabs>
        <w:rPr>
          <w:i/>
        </w:rPr>
      </w:pPr>
      <w:r>
        <w:rPr>
          <w:i/>
        </w:rPr>
        <w:t xml:space="preserve">Vær opmærksom på, at virksomheder foretrækker at finansiere via gæld, da dette er billigst i omkostninger. Teori: The </w:t>
      </w:r>
      <w:proofErr w:type="spellStart"/>
      <w:r>
        <w:rPr>
          <w:i/>
        </w:rPr>
        <w:t>Pecking</w:t>
      </w:r>
      <w:proofErr w:type="spellEnd"/>
      <w:r>
        <w:rPr>
          <w:i/>
        </w:rPr>
        <w:t xml:space="preserve"> Order </w:t>
      </w:r>
      <w:proofErr w:type="spellStart"/>
      <w:r>
        <w:rPr>
          <w:i/>
        </w:rPr>
        <w:t>Theory</w:t>
      </w:r>
      <w:proofErr w:type="spellEnd"/>
      <w:r>
        <w:rPr>
          <w:i/>
        </w:rPr>
        <w:t xml:space="preserve"> (Google det </w:t>
      </w:r>
      <w:r w:rsidRPr="00D9484F">
        <w:rPr>
          <w:i/>
        </w:rPr>
        <w:sym w:font="Wingdings" w:char="F04A"/>
      </w:r>
      <w:r>
        <w:rPr>
          <w:i/>
        </w:rPr>
        <w:t xml:space="preserve"> )</w:t>
      </w:r>
    </w:p>
    <w:p w:rsidR="00556113" w:rsidRDefault="00556113" w:rsidP="00BD21C8">
      <w:pPr>
        <w:tabs>
          <w:tab w:val="left" w:pos="5445"/>
        </w:tabs>
      </w:pPr>
    </w:p>
    <w:p w:rsidR="00BD21C8" w:rsidRDefault="00805893" w:rsidP="00822792">
      <w:pPr>
        <w:pStyle w:val="Overskrift2"/>
      </w:pPr>
      <w:r>
        <w:lastRenderedPageBreak/>
        <w:t xml:space="preserve">8. </w:t>
      </w:r>
      <w:r w:rsidR="00BD21C8">
        <w:t>Likviditetsgrad</w:t>
      </w:r>
    </w:p>
    <w:p w:rsidR="00883E26" w:rsidRDefault="00883E26" w:rsidP="00883E26">
      <w:pPr>
        <w:tabs>
          <w:tab w:val="left" w:pos="5445"/>
        </w:tabs>
      </w:pPr>
      <w:r>
        <w:rPr>
          <w:i/>
        </w:rPr>
        <w:t>Likviditetsgraden (LG)</w:t>
      </w:r>
      <w:r w:rsidRPr="003136FB">
        <w:rPr>
          <w:i/>
        </w:rPr>
        <w:t xml:space="preserve"> </w:t>
      </w:r>
      <w:r>
        <w:t>er et nøgletal, der anvendes til at belyse virksomhedens kortfristede betalingsevne. Nøgletallet udregnes som følgende (enheden er %):</w:t>
      </w:r>
    </w:p>
    <w:p w:rsidR="006C7977" w:rsidRDefault="006C7977" w:rsidP="00BD21C8">
      <w:pPr>
        <w:tabs>
          <w:tab w:val="left" w:pos="5445"/>
        </w:tabs>
      </w:pPr>
    </w:p>
    <w:tbl>
      <w:tblPr>
        <w:tblW w:w="0" w:type="auto"/>
        <w:tblInd w:w="1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9"/>
      </w:tblGrid>
      <w:tr w:rsidR="004B3E11" w:rsidTr="00C85BEF">
        <w:trPr>
          <w:trHeight w:val="534"/>
        </w:trPr>
        <w:tc>
          <w:tcPr>
            <w:tcW w:w="5849" w:type="dxa"/>
            <w:tcBorders>
              <w:bottom w:val="single" w:sz="4" w:space="0" w:color="auto"/>
            </w:tcBorders>
          </w:tcPr>
          <w:p w:rsidR="004B3E11" w:rsidRDefault="00C85BEF" w:rsidP="00C85BEF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Likviditetsgrad=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Omsætningsaktiver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Kortfristede gældsforpligtelser</m:t>
                    </m:r>
                  </m:den>
                </m:f>
                <m:r>
                  <w:rPr>
                    <w:rFonts w:ascii="Cambria Math" w:hAnsi="Cambria Math"/>
                  </w:rPr>
                  <m:t>x100</m:t>
                </m:r>
              </m:oMath>
            </m:oMathPara>
          </w:p>
        </w:tc>
      </w:tr>
    </w:tbl>
    <w:p w:rsidR="004B3E11" w:rsidRDefault="004B3E11" w:rsidP="00BD21C8">
      <w:pPr>
        <w:tabs>
          <w:tab w:val="left" w:pos="5445"/>
        </w:tabs>
      </w:pPr>
    </w:p>
    <w:p w:rsidR="00883E26" w:rsidRDefault="00883E26" w:rsidP="00BD21C8">
      <w:pPr>
        <w:tabs>
          <w:tab w:val="left" w:pos="5445"/>
        </w:tabs>
      </w:pPr>
      <w:r>
        <w:t xml:space="preserve">Nøgletallet viser altså hvor meget virksomhedens </w:t>
      </w:r>
      <w:r w:rsidRPr="00883E26">
        <w:rPr>
          <w:i/>
        </w:rPr>
        <w:t>omsætningsaktiver</w:t>
      </w:r>
      <w:r>
        <w:t xml:space="preserve"> udgør i procent af de </w:t>
      </w:r>
      <w:r w:rsidRPr="00883E26">
        <w:rPr>
          <w:i/>
        </w:rPr>
        <w:t>samlede kortfristede gældsforpligtelser</w:t>
      </w:r>
      <w:r>
        <w:t xml:space="preserve">. </w:t>
      </w:r>
    </w:p>
    <w:p w:rsidR="004B3E11" w:rsidRDefault="00883E26" w:rsidP="00BD21C8">
      <w:pPr>
        <w:tabs>
          <w:tab w:val="left" w:pos="5445"/>
        </w:tabs>
      </w:pPr>
      <w:r>
        <w:t>De kortfristede gældsforpligtelser omhandler forpligtelser der forfalder inden for 1 år, hvorfor virksomheden er nødsaget til at have nok likviditet (i fx kassen) til at kunne betale disse. Dette kan også komme fra omsætningsaktiverne (fx lager) eller andre likvide midler.</w:t>
      </w:r>
    </w:p>
    <w:p w:rsidR="00871844" w:rsidRDefault="00871844" w:rsidP="00871844">
      <w:pPr>
        <w:tabs>
          <w:tab w:val="left" w:pos="5445"/>
        </w:tabs>
      </w:pPr>
      <w:r>
        <w:t>Likviditet omhandler virksomhedens indbetalinger og udbetalinger, og en fornuftig likviditetsgrad bør ligge på over 100% og gerne omkring de 150%.</w:t>
      </w:r>
    </w:p>
    <w:p w:rsidR="00871844" w:rsidRDefault="00871844" w:rsidP="00871844">
      <w:pPr>
        <w:tabs>
          <w:tab w:val="left" w:pos="5445"/>
        </w:tabs>
      </w:pPr>
      <w:r>
        <w:t xml:space="preserve">Har virksomheden ikke nok likviditet </w:t>
      </w:r>
      <w:r>
        <w:sym w:font="Wingdings" w:char="F0E0"/>
      </w:r>
      <w:r>
        <w:t xml:space="preserve"> Virksomheden kan ikke betale sine regninger </w:t>
      </w:r>
      <w:r>
        <w:sym w:font="Wingdings" w:char="F0E0"/>
      </w:r>
      <w:r>
        <w:t xml:space="preserve"> Betalingsstandsning </w:t>
      </w:r>
      <w:r>
        <w:sym w:font="Wingdings" w:char="F0E0"/>
      </w:r>
      <w:r>
        <w:t xml:space="preserve"> Mulig konkurs.</w:t>
      </w:r>
    </w:p>
    <w:p w:rsidR="00883E26" w:rsidRDefault="00883E26" w:rsidP="00BD21C8">
      <w:pPr>
        <w:tabs>
          <w:tab w:val="left" w:pos="5445"/>
        </w:tabs>
      </w:pPr>
    </w:p>
    <w:p w:rsidR="00556113" w:rsidRPr="00B7090F" w:rsidRDefault="005F1399" w:rsidP="00556113">
      <w:pPr>
        <w:tabs>
          <w:tab w:val="left" w:pos="5445"/>
        </w:tabs>
        <w:rPr>
          <w:u w:val="single"/>
        </w:rPr>
      </w:pPr>
      <w:r>
        <w:rPr>
          <w:u w:val="single"/>
        </w:rPr>
        <w:t>Likviditetsgraden</w:t>
      </w:r>
      <w:r w:rsidR="00556113" w:rsidRPr="00B7090F">
        <w:rPr>
          <w:u w:val="single"/>
        </w:rPr>
        <w:t xml:space="preserve"> forbedres når:</w:t>
      </w:r>
    </w:p>
    <w:p w:rsidR="00871844" w:rsidRDefault="00871844" w:rsidP="00871844">
      <w:pPr>
        <w:pStyle w:val="Listeafsnit"/>
        <w:numPr>
          <w:ilvl w:val="0"/>
          <w:numId w:val="9"/>
        </w:numPr>
        <w:tabs>
          <w:tab w:val="left" w:pos="5445"/>
        </w:tabs>
      </w:pPr>
      <w:r>
        <w:t>Mængden af omsætningsaktiver udgøre forholdsmæssigt mere ift. samlede aktiver (</w:t>
      </w:r>
      <w:r w:rsidRPr="00871844">
        <w:rPr>
          <w:i/>
        </w:rPr>
        <w:t>tæller</w:t>
      </w:r>
      <w:r>
        <w:t>)</w:t>
      </w:r>
    </w:p>
    <w:p w:rsidR="00871844" w:rsidRDefault="00871844" w:rsidP="00871844">
      <w:pPr>
        <w:pStyle w:val="Listeafsnit"/>
        <w:numPr>
          <w:ilvl w:val="0"/>
          <w:numId w:val="9"/>
        </w:numPr>
        <w:tabs>
          <w:tab w:val="left" w:pos="5445"/>
        </w:tabs>
      </w:pPr>
      <w:r>
        <w:t>Kortfristede gældsforpligtelser reduceres og med tiden udskiftes til langfristede gældsforpligtelser (</w:t>
      </w:r>
      <w:r w:rsidRPr="00871844">
        <w:rPr>
          <w:i/>
        </w:rPr>
        <w:t>nævner</w:t>
      </w:r>
      <w:r>
        <w:t>)</w:t>
      </w:r>
    </w:p>
    <w:p w:rsidR="00556113" w:rsidRDefault="00556113" w:rsidP="00556113">
      <w:pPr>
        <w:tabs>
          <w:tab w:val="left" w:pos="5445"/>
        </w:tabs>
      </w:pPr>
    </w:p>
    <w:p w:rsidR="00556113" w:rsidRPr="00A07389" w:rsidRDefault="00556113" w:rsidP="00556113">
      <w:pPr>
        <w:tabs>
          <w:tab w:val="left" w:pos="5445"/>
        </w:tabs>
        <w:rPr>
          <w:u w:val="single"/>
        </w:rPr>
      </w:pPr>
      <w:r w:rsidRPr="00A07389">
        <w:rPr>
          <w:u w:val="single"/>
        </w:rPr>
        <w:t>Hvor findes data?</w:t>
      </w:r>
    </w:p>
    <w:p w:rsidR="00871844" w:rsidRDefault="00871844" w:rsidP="00871844">
      <w:pPr>
        <w:pStyle w:val="Listeafsnit"/>
        <w:numPr>
          <w:ilvl w:val="0"/>
          <w:numId w:val="3"/>
        </w:numPr>
        <w:tabs>
          <w:tab w:val="left" w:pos="5445"/>
        </w:tabs>
      </w:pPr>
      <w:r>
        <w:rPr>
          <w:i/>
        </w:rPr>
        <w:t>Omsætningsaktiver</w:t>
      </w:r>
      <w:r>
        <w:t xml:space="preserve"> findes i </w:t>
      </w:r>
      <w:r>
        <w:rPr>
          <w:u w:val="single"/>
        </w:rPr>
        <w:t>balancen</w:t>
      </w:r>
    </w:p>
    <w:p w:rsidR="00871844" w:rsidRDefault="00871844" w:rsidP="00871844">
      <w:pPr>
        <w:pStyle w:val="Listeafsnit"/>
        <w:numPr>
          <w:ilvl w:val="0"/>
          <w:numId w:val="3"/>
        </w:numPr>
        <w:tabs>
          <w:tab w:val="left" w:pos="5445"/>
        </w:tabs>
      </w:pPr>
      <w:r>
        <w:rPr>
          <w:i/>
        </w:rPr>
        <w:t>Kortfristede gældsforpligtelser</w:t>
      </w:r>
      <w:r>
        <w:t xml:space="preserve"> findes i </w:t>
      </w:r>
      <w:r w:rsidRPr="00A07389">
        <w:rPr>
          <w:u w:val="single"/>
        </w:rPr>
        <w:t>balancen</w:t>
      </w:r>
    </w:p>
    <w:p w:rsidR="00556113" w:rsidRDefault="00556113" w:rsidP="00556113">
      <w:pPr>
        <w:tabs>
          <w:tab w:val="left" w:pos="5445"/>
        </w:tabs>
      </w:pPr>
    </w:p>
    <w:p w:rsidR="00556113" w:rsidRPr="00D72A2C" w:rsidRDefault="00556113" w:rsidP="00556113">
      <w:pPr>
        <w:tabs>
          <w:tab w:val="left" w:pos="5445"/>
        </w:tabs>
        <w:rPr>
          <w:u w:val="single"/>
        </w:rPr>
      </w:pPr>
      <w:r w:rsidRPr="00D72A2C">
        <w:rPr>
          <w:u w:val="single"/>
        </w:rPr>
        <w:t>Fortolkning:</w:t>
      </w:r>
    </w:p>
    <w:p w:rsidR="00107540" w:rsidRDefault="00107540" w:rsidP="00107540">
      <w:pPr>
        <w:tabs>
          <w:tab w:val="left" w:pos="5445"/>
        </w:tabs>
        <w:rPr>
          <w:i/>
        </w:rPr>
      </w:pPr>
      <w:r>
        <w:rPr>
          <w:i/>
        </w:rPr>
        <w:t>En likviditetsgrad på 112,0% indikerer, at virksomhedens omsætningsaktiver overstiger de kortfristede gældsforpligtelser, og virksomheden kan dermed antages at have en sund likviditet.</w:t>
      </w:r>
    </w:p>
    <w:p w:rsidR="00107540" w:rsidRDefault="00107540" w:rsidP="00107540">
      <w:pPr>
        <w:tabs>
          <w:tab w:val="left" w:pos="5445"/>
        </w:tabs>
        <w:rPr>
          <w:i/>
        </w:rPr>
      </w:pPr>
      <w:r>
        <w:rPr>
          <w:i/>
        </w:rPr>
        <w:t>Likviditeten bør sammenholdes over flere perioder for at nøgletallet skal give fuld værdi i analysen.</w:t>
      </w:r>
    </w:p>
    <w:p w:rsidR="00556113" w:rsidRDefault="00556113" w:rsidP="00BD21C8">
      <w:pPr>
        <w:tabs>
          <w:tab w:val="left" w:pos="5445"/>
        </w:tabs>
      </w:pPr>
    </w:p>
    <w:p w:rsidR="003A43F7" w:rsidRDefault="003A43F7" w:rsidP="00BD21C8">
      <w:pPr>
        <w:tabs>
          <w:tab w:val="left" w:pos="5445"/>
        </w:tabs>
      </w:pPr>
    </w:p>
    <w:p w:rsidR="003A43F7" w:rsidRDefault="003A43F7" w:rsidP="00BD21C8">
      <w:pPr>
        <w:tabs>
          <w:tab w:val="left" w:pos="5445"/>
        </w:tabs>
      </w:pPr>
    </w:p>
    <w:p w:rsidR="006C7977" w:rsidRPr="00805893" w:rsidRDefault="00805893" w:rsidP="00822792">
      <w:pPr>
        <w:pStyle w:val="Overskrift2"/>
      </w:pPr>
      <w:r>
        <w:lastRenderedPageBreak/>
        <w:t xml:space="preserve">9. </w:t>
      </w:r>
      <w:r w:rsidR="006C7977" w:rsidRPr="00805893">
        <w:t>ROIC</w:t>
      </w:r>
    </w:p>
    <w:p w:rsidR="006C7977" w:rsidRPr="003A43F7" w:rsidRDefault="003A43F7" w:rsidP="00BD21C8">
      <w:pPr>
        <w:tabs>
          <w:tab w:val="left" w:pos="5445"/>
        </w:tabs>
      </w:pPr>
      <w:r w:rsidRPr="003A43F7">
        <w:t xml:space="preserve">ROIC står for Return on </w:t>
      </w:r>
      <w:proofErr w:type="spellStart"/>
      <w:r w:rsidRPr="003A43F7">
        <w:t>Invested</w:t>
      </w:r>
      <w:proofErr w:type="spellEnd"/>
      <w:r w:rsidRPr="003A43F7">
        <w:t xml:space="preserve"> Capital (= </w:t>
      </w:r>
      <w:r w:rsidRPr="003A43F7">
        <w:rPr>
          <w:i/>
        </w:rPr>
        <w:t>afkast af investeret kapital</w:t>
      </w:r>
      <w:r w:rsidRPr="003A43F7">
        <w:t>)</w:t>
      </w:r>
      <w:bookmarkStart w:id="0" w:name="_GoBack"/>
      <w:bookmarkEnd w:id="0"/>
    </w:p>
    <w:tbl>
      <w:tblPr>
        <w:tblW w:w="0" w:type="auto"/>
        <w:tblInd w:w="2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2"/>
      </w:tblGrid>
      <w:tr w:rsidR="000913EA" w:rsidTr="000913EA">
        <w:trPr>
          <w:trHeight w:val="855"/>
        </w:trPr>
        <w:tc>
          <w:tcPr>
            <w:tcW w:w="5042" w:type="dxa"/>
          </w:tcPr>
          <w:p w:rsidR="000913EA" w:rsidRDefault="000913EA" w:rsidP="000913EA">
            <w:pPr>
              <w:tabs>
                <w:tab w:val="left" w:pos="5445"/>
              </w:tabs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ROIC=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EBITA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Gennemsnitlig investeret kapital</m:t>
                    </m:r>
                  </m:den>
                </m:f>
                <m:r>
                  <w:rPr>
                    <w:rFonts w:ascii="Cambria Math" w:hAnsi="Cambria Math"/>
                  </w:rPr>
                  <m:t>x100</m:t>
                </m:r>
              </m:oMath>
            </m:oMathPara>
          </w:p>
        </w:tc>
      </w:tr>
    </w:tbl>
    <w:p w:rsidR="003A43F7" w:rsidRDefault="003A43F7" w:rsidP="00BD21C8">
      <w:pPr>
        <w:tabs>
          <w:tab w:val="left" w:pos="5445"/>
        </w:tabs>
        <w:rPr>
          <w:rFonts w:eastAsiaTheme="minorEastAsia"/>
        </w:rPr>
      </w:pPr>
    </w:p>
    <w:p w:rsidR="003A43F7" w:rsidRDefault="003A43F7" w:rsidP="00BD21C8">
      <w:pPr>
        <w:tabs>
          <w:tab w:val="left" w:pos="5445"/>
        </w:tabs>
        <w:rPr>
          <w:rFonts w:eastAsiaTheme="minorEastAsia"/>
        </w:rPr>
      </w:pPr>
      <w:r w:rsidRPr="003A43F7">
        <w:rPr>
          <w:rFonts w:eastAsiaTheme="minorEastAsia"/>
          <w:i/>
        </w:rPr>
        <w:t xml:space="preserve">EBITA er her </w:t>
      </w:r>
      <w:proofErr w:type="spellStart"/>
      <w:r w:rsidRPr="003A43F7">
        <w:rPr>
          <w:rFonts w:eastAsiaTheme="minorEastAsia"/>
          <w:i/>
        </w:rPr>
        <w:t>Earnings</w:t>
      </w:r>
      <w:proofErr w:type="spellEnd"/>
      <w:r w:rsidRPr="003A43F7">
        <w:rPr>
          <w:rFonts w:eastAsiaTheme="minorEastAsia"/>
          <w:i/>
        </w:rPr>
        <w:t xml:space="preserve"> </w:t>
      </w:r>
      <w:proofErr w:type="spellStart"/>
      <w:r w:rsidRPr="003A43F7">
        <w:rPr>
          <w:rFonts w:eastAsiaTheme="minorEastAsia"/>
          <w:i/>
        </w:rPr>
        <w:t>Before</w:t>
      </w:r>
      <w:proofErr w:type="spellEnd"/>
      <w:r w:rsidRPr="003A43F7">
        <w:rPr>
          <w:rFonts w:eastAsiaTheme="minorEastAsia"/>
          <w:i/>
        </w:rPr>
        <w:t xml:space="preserve"> </w:t>
      </w:r>
      <w:proofErr w:type="spellStart"/>
      <w:r w:rsidRPr="003A43F7">
        <w:rPr>
          <w:rFonts w:eastAsiaTheme="minorEastAsia"/>
          <w:i/>
        </w:rPr>
        <w:t>deduction</w:t>
      </w:r>
      <w:proofErr w:type="spellEnd"/>
      <w:r w:rsidRPr="003A43F7">
        <w:rPr>
          <w:rFonts w:eastAsiaTheme="minorEastAsia"/>
          <w:i/>
        </w:rPr>
        <w:t xml:space="preserve"> of </w:t>
      </w:r>
      <w:proofErr w:type="spellStart"/>
      <w:r w:rsidRPr="003A43F7">
        <w:rPr>
          <w:rFonts w:eastAsiaTheme="minorEastAsia"/>
          <w:i/>
        </w:rPr>
        <w:t>Interest</w:t>
      </w:r>
      <w:proofErr w:type="spellEnd"/>
      <w:r w:rsidRPr="003A43F7">
        <w:rPr>
          <w:rFonts w:eastAsiaTheme="minorEastAsia"/>
          <w:i/>
        </w:rPr>
        <w:t xml:space="preserve">, </w:t>
      </w:r>
      <w:proofErr w:type="spellStart"/>
      <w:r w:rsidRPr="003A43F7">
        <w:rPr>
          <w:rFonts w:eastAsiaTheme="minorEastAsia"/>
          <w:i/>
        </w:rPr>
        <w:t>Tax</w:t>
      </w:r>
      <w:proofErr w:type="spellEnd"/>
      <w:r w:rsidRPr="003A43F7">
        <w:rPr>
          <w:rFonts w:eastAsiaTheme="minorEastAsia"/>
          <w:i/>
        </w:rPr>
        <w:t xml:space="preserve"> and </w:t>
      </w:r>
      <w:proofErr w:type="spellStart"/>
      <w:r w:rsidRPr="003A43F7">
        <w:rPr>
          <w:rFonts w:eastAsiaTheme="minorEastAsia"/>
          <w:i/>
        </w:rPr>
        <w:t>Amortization</w:t>
      </w:r>
      <w:proofErr w:type="spellEnd"/>
      <w:r w:rsidRPr="003A43F7">
        <w:rPr>
          <w:rFonts w:eastAsiaTheme="minorEastAsia"/>
          <w:i/>
        </w:rPr>
        <w:t xml:space="preserve"> </w:t>
      </w:r>
      <w:proofErr w:type="spellStart"/>
      <w:r w:rsidRPr="003A43F7">
        <w:rPr>
          <w:rFonts w:eastAsiaTheme="minorEastAsia"/>
          <w:i/>
        </w:rPr>
        <w:t>expenses</w:t>
      </w:r>
      <w:proofErr w:type="spellEnd"/>
      <w:r w:rsidRPr="003A43F7">
        <w:rPr>
          <w:rFonts w:eastAsiaTheme="minorEastAsia"/>
        </w:rPr>
        <w:t xml:space="preserve"> (= indtjening før fradrag af renter, skat og afskrivninger på goodwill)</w:t>
      </w:r>
      <w:r>
        <w:rPr>
          <w:rFonts w:eastAsiaTheme="minorEastAsia"/>
        </w:rPr>
        <w:t>.</w:t>
      </w:r>
    </w:p>
    <w:p w:rsidR="003A43F7" w:rsidRPr="003A43F7" w:rsidRDefault="003A43F7" w:rsidP="00BD21C8">
      <w:pPr>
        <w:tabs>
          <w:tab w:val="left" w:pos="5445"/>
        </w:tabs>
      </w:pPr>
      <w:r w:rsidRPr="003A43F7">
        <w:rPr>
          <w:rFonts w:eastAsiaTheme="minorEastAsia"/>
          <w:i/>
        </w:rPr>
        <w:t>Gennemsnitlig investeret kapital</w:t>
      </w:r>
      <w:r>
        <w:rPr>
          <w:rFonts w:eastAsiaTheme="minorEastAsia"/>
        </w:rPr>
        <w:t xml:space="preserve"> er her kapitalen investeret i driftsaktiver (= summen af de samlede aktiver med fradrag af finansielle anlægsaktiver og finansielle omsætningsaktiver, og med fradrag af ikke rentebærende gældsforpligtelser)</w:t>
      </w:r>
    </w:p>
    <w:p w:rsidR="00BD21C8" w:rsidRPr="003A43F7" w:rsidRDefault="003A43F7" w:rsidP="00BD21C8">
      <w:pPr>
        <w:tabs>
          <w:tab w:val="left" w:pos="5445"/>
        </w:tabs>
      </w:pPr>
      <w:r>
        <w:t>ROIC er et alternativ til afkastningsgraden, her ser man dog på forrentningen af virksomhedens driftskapital.</w:t>
      </w:r>
    </w:p>
    <w:p w:rsidR="00BD21C8" w:rsidRPr="003A43F7" w:rsidRDefault="00BD21C8" w:rsidP="00BD21C8">
      <w:pPr>
        <w:tabs>
          <w:tab w:val="left" w:pos="5445"/>
        </w:tabs>
      </w:pPr>
    </w:p>
    <w:p w:rsidR="00BD21C8" w:rsidRDefault="00805893" w:rsidP="003427E0">
      <w:pPr>
        <w:pStyle w:val="Overskrift2"/>
      </w:pPr>
      <w:r>
        <w:t xml:space="preserve">10. </w:t>
      </w:r>
      <w:r w:rsidR="003427E0">
        <w:t>Dækningsgraden</w:t>
      </w:r>
    </w:p>
    <w:p w:rsidR="003427E0" w:rsidRPr="003427E0" w:rsidRDefault="000913EA" w:rsidP="003427E0">
      <w:r w:rsidRPr="004C0FBF">
        <w:rPr>
          <w:i/>
        </w:rPr>
        <w:t>Dækningsgraden (</w:t>
      </w:r>
      <w:r w:rsidR="003427E0" w:rsidRPr="004C0FBF">
        <w:rPr>
          <w:i/>
        </w:rPr>
        <w:t>DG</w:t>
      </w:r>
      <w:r w:rsidRPr="004C0FBF">
        <w:rPr>
          <w:i/>
        </w:rPr>
        <w:t>)</w:t>
      </w:r>
      <w:r>
        <w:t xml:space="preserve"> er et nøgletal, der anvendes til at belyser forholdet mellem virksomhedens omsætning og de variable omkostninger. Nøgletallet udregnes som følgende (enheden er %):</w:t>
      </w:r>
    </w:p>
    <w:tbl>
      <w:tblPr>
        <w:tblW w:w="0" w:type="auto"/>
        <w:tblInd w:w="2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7"/>
      </w:tblGrid>
      <w:tr w:rsidR="000913EA" w:rsidTr="000913EA">
        <w:trPr>
          <w:trHeight w:val="534"/>
        </w:trPr>
        <w:tc>
          <w:tcPr>
            <w:tcW w:w="4627" w:type="dxa"/>
            <w:tcBorders>
              <w:bottom w:val="single" w:sz="4" w:space="0" w:color="auto"/>
            </w:tcBorders>
          </w:tcPr>
          <w:p w:rsidR="000913EA" w:rsidRDefault="000913EA" w:rsidP="000913EA">
            <w:pPr>
              <w:tabs>
                <w:tab w:val="left" w:pos="5445"/>
              </w:tabs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Dækningsgraden=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Dækningsbidraget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Nettoomsætningen</m:t>
                    </m:r>
                  </m:den>
                </m:f>
                <m:r>
                  <w:rPr>
                    <w:rFonts w:ascii="Cambria Math" w:hAnsi="Cambria Math"/>
                  </w:rPr>
                  <m:t>x100</m:t>
                </m:r>
              </m:oMath>
            </m:oMathPara>
          </w:p>
        </w:tc>
      </w:tr>
    </w:tbl>
    <w:p w:rsidR="00D72A2C" w:rsidRDefault="00D72A2C" w:rsidP="00BD21C8">
      <w:pPr>
        <w:tabs>
          <w:tab w:val="left" w:pos="5445"/>
        </w:tabs>
      </w:pPr>
    </w:p>
    <w:p w:rsidR="004C0FBF" w:rsidRDefault="004C0FBF" w:rsidP="00BD21C8">
      <w:pPr>
        <w:tabs>
          <w:tab w:val="left" w:pos="5445"/>
        </w:tabs>
      </w:pPr>
      <w:r w:rsidRPr="004C0FBF">
        <w:rPr>
          <w:i/>
        </w:rPr>
        <w:t>Dækningsgraden</w:t>
      </w:r>
      <w:r>
        <w:t xml:space="preserve"> viser med andre ord hvor stor en del af virksomhedens omsætning, der går til at dække virksomhedens kapacitetsomkostninger, renteomkostninger og overskud.</w:t>
      </w:r>
    </w:p>
    <w:p w:rsidR="004C0FBF" w:rsidRDefault="004C0FBF" w:rsidP="00BD21C8">
      <w:pPr>
        <w:tabs>
          <w:tab w:val="left" w:pos="5445"/>
        </w:tabs>
      </w:pPr>
    </w:p>
    <w:p w:rsidR="004C0FBF" w:rsidRPr="00B7090F" w:rsidRDefault="004C0FBF" w:rsidP="004C0FBF">
      <w:pPr>
        <w:tabs>
          <w:tab w:val="left" w:pos="5445"/>
        </w:tabs>
        <w:rPr>
          <w:u w:val="single"/>
        </w:rPr>
      </w:pPr>
      <w:r>
        <w:rPr>
          <w:u w:val="single"/>
        </w:rPr>
        <w:t>Dækningsgraden</w:t>
      </w:r>
      <w:r w:rsidRPr="00B7090F">
        <w:rPr>
          <w:u w:val="single"/>
        </w:rPr>
        <w:t xml:space="preserve"> forbedres når:</w:t>
      </w:r>
    </w:p>
    <w:p w:rsidR="004C0FBF" w:rsidRDefault="004C0FBF" w:rsidP="004C0FBF">
      <w:pPr>
        <w:pStyle w:val="Listeafsnit"/>
        <w:numPr>
          <w:ilvl w:val="0"/>
          <w:numId w:val="10"/>
        </w:numPr>
        <w:tabs>
          <w:tab w:val="left" w:pos="5445"/>
        </w:tabs>
      </w:pPr>
      <w:r>
        <w:t>Forholdet mellem nettoomsætningen og de variable omkostninger stiger</w:t>
      </w:r>
    </w:p>
    <w:p w:rsidR="004C0FBF" w:rsidRDefault="004C0FBF" w:rsidP="004C0FBF">
      <w:pPr>
        <w:pStyle w:val="Listeafsnit"/>
        <w:numPr>
          <w:ilvl w:val="0"/>
          <w:numId w:val="10"/>
        </w:numPr>
        <w:tabs>
          <w:tab w:val="left" w:pos="5445"/>
        </w:tabs>
      </w:pPr>
      <w:r>
        <w:t xml:space="preserve">Variable omkostninger reduceres </w:t>
      </w:r>
      <w:r>
        <w:sym w:font="Wingdings" w:char="F0E0"/>
      </w:r>
      <w:r>
        <w:t xml:space="preserve"> Dækningsbidraget forbedres altså (</w:t>
      </w:r>
      <w:r w:rsidRPr="004C0FBF">
        <w:rPr>
          <w:i/>
        </w:rPr>
        <w:t>tæller</w:t>
      </w:r>
      <w:r>
        <w:t>)</w:t>
      </w:r>
    </w:p>
    <w:p w:rsidR="004C0FBF" w:rsidRDefault="004C0FBF" w:rsidP="004C0FBF">
      <w:pPr>
        <w:pStyle w:val="Listeafsnit"/>
        <w:numPr>
          <w:ilvl w:val="0"/>
          <w:numId w:val="10"/>
        </w:numPr>
        <w:tabs>
          <w:tab w:val="left" w:pos="5445"/>
        </w:tabs>
      </w:pPr>
      <w:r>
        <w:t>Virksomheden tager en højere salgspris</w:t>
      </w:r>
    </w:p>
    <w:p w:rsidR="004C0FBF" w:rsidRDefault="004C0FBF" w:rsidP="004C0FBF">
      <w:pPr>
        <w:tabs>
          <w:tab w:val="left" w:pos="5445"/>
        </w:tabs>
      </w:pPr>
    </w:p>
    <w:p w:rsidR="004C0FBF" w:rsidRPr="00A07389" w:rsidRDefault="004C0FBF" w:rsidP="004C0FBF">
      <w:pPr>
        <w:tabs>
          <w:tab w:val="left" w:pos="5445"/>
        </w:tabs>
        <w:rPr>
          <w:u w:val="single"/>
        </w:rPr>
      </w:pPr>
      <w:r w:rsidRPr="00A07389">
        <w:rPr>
          <w:u w:val="single"/>
        </w:rPr>
        <w:t>Hvor findes data?</w:t>
      </w:r>
    </w:p>
    <w:p w:rsidR="004C0FBF" w:rsidRDefault="004C0FBF" w:rsidP="004C0FBF">
      <w:pPr>
        <w:pStyle w:val="Listeafsnit"/>
        <w:numPr>
          <w:ilvl w:val="0"/>
          <w:numId w:val="3"/>
        </w:numPr>
        <w:tabs>
          <w:tab w:val="left" w:pos="5445"/>
        </w:tabs>
      </w:pPr>
      <w:r>
        <w:rPr>
          <w:i/>
        </w:rPr>
        <w:t>Dækningsbidraget</w:t>
      </w:r>
      <w:r>
        <w:t xml:space="preserve"> findes i </w:t>
      </w:r>
      <w:r>
        <w:rPr>
          <w:u w:val="single"/>
        </w:rPr>
        <w:t>resultatopgørelsen</w:t>
      </w:r>
    </w:p>
    <w:p w:rsidR="004C0FBF" w:rsidRDefault="004C0FBF" w:rsidP="004C0FBF">
      <w:pPr>
        <w:pStyle w:val="Listeafsnit"/>
        <w:numPr>
          <w:ilvl w:val="0"/>
          <w:numId w:val="3"/>
        </w:numPr>
        <w:tabs>
          <w:tab w:val="left" w:pos="5445"/>
        </w:tabs>
      </w:pPr>
      <w:r>
        <w:rPr>
          <w:i/>
        </w:rPr>
        <w:t>Nettoomsætningen</w:t>
      </w:r>
      <w:r>
        <w:t xml:space="preserve"> findes i </w:t>
      </w:r>
      <w:r>
        <w:rPr>
          <w:u w:val="single"/>
        </w:rPr>
        <w:t>resultatopgørelsen</w:t>
      </w:r>
    </w:p>
    <w:p w:rsidR="004C0FBF" w:rsidRDefault="004C0FBF" w:rsidP="004C0FBF">
      <w:pPr>
        <w:tabs>
          <w:tab w:val="left" w:pos="5445"/>
        </w:tabs>
      </w:pPr>
    </w:p>
    <w:p w:rsidR="004C0FBF" w:rsidRPr="00D72A2C" w:rsidRDefault="004C0FBF" w:rsidP="004C0FBF">
      <w:pPr>
        <w:tabs>
          <w:tab w:val="left" w:pos="5445"/>
        </w:tabs>
        <w:rPr>
          <w:u w:val="single"/>
        </w:rPr>
      </w:pPr>
      <w:r w:rsidRPr="00D72A2C">
        <w:rPr>
          <w:u w:val="single"/>
        </w:rPr>
        <w:t>Fortolkning:</w:t>
      </w:r>
    </w:p>
    <w:p w:rsidR="004C0FBF" w:rsidRPr="00BD21C8" w:rsidRDefault="004C0FBF" w:rsidP="00BD21C8">
      <w:pPr>
        <w:tabs>
          <w:tab w:val="left" w:pos="5445"/>
        </w:tabs>
      </w:pPr>
      <w:r>
        <w:rPr>
          <w:i/>
        </w:rPr>
        <w:t>En dækningsgrad på 25,6% indikerer, at virksomheden opnår et dækningsbidrag på 25,6 kr. for hver 100 kr. den omsætter for.</w:t>
      </w:r>
    </w:p>
    <w:sectPr w:rsidR="004C0FBF" w:rsidRPr="00BD21C8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A49" w:rsidRDefault="00751A49" w:rsidP="00F42411">
      <w:pPr>
        <w:spacing w:after="0" w:line="240" w:lineRule="auto"/>
      </w:pPr>
      <w:r>
        <w:separator/>
      </w:r>
    </w:p>
  </w:endnote>
  <w:endnote w:type="continuationSeparator" w:id="0">
    <w:p w:rsidR="00751A49" w:rsidRDefault="00751A49" w:rsidP="00F42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644205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71EF4" w:rsidRDefault="00B71EF4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755C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755C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C5E6E" w:rsidRDefault="00CC5E6E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A49" w:rsidRDefault="00751A49" w:rsidP="00F42411">
      <w:pPr>
        <w:spacing w:after="0" w:line="240" w:lineRule="auto"/>
      </w:pPr>
      <w:r>
        <w:separator/>
      </w:r>
    </w:p>
  </w:footnote>
  <w:footnote w:type="continuationSeparator" w:id="0">
    <w:p w:rsidR="00751A49" w:rsidRDefault="00751A49" w:rsidP="00F42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A56" w:rsidRDefault="007C6A56">
    <w:pPr>
      <w:pStyle w:val="Sidehoved"/>
      <w:rPr>
        <w:sz w:val="20"/>
        <w:szCs w:val="20"/>
      </w:rPr>
    </w:pPr>
    <w:r>
      <w:rPr>
        <w:sz w:val="20"/>
        <w:szCs w:val="20"/>
      </w:rPr>
      <w:t>Underviser: Peter Terkelsen</w:t>
    </w:r>
  </w:p>
  <w:p w:rsidR="007C6A56" w:rsidRPr="007C6A56" w:rsidRDefault="007C6A56">
    <w:pPr>
      <w:pStyle w:val="Sidehoved"/>
      <w:rPr>
        <w:sz w:val="20"/>
        <w:szCs w:val="20"/>
      </w:rPr>
    </w:pPr>
    <w:r>
      <w:rPr>
        <w:sz w:val="20"/>
        <w:szCs w:val="20"/>
      </w:rPr>
      <w:t xml:space="preserve">Virksomhedsøkonomi </w:t>
    </w:r>
    <w:r w:rsidR="00FC755C">
      <w:rPr>
        <w:sz w:val="20"/>
        <w:szCs w:val="20"/>
      </w:rPr>
      <w:t>B</w:t>
    </w:r>
    <w:r>
      <w:rPr>
        <w:sz w:val="20"/>
        <w:szCs w:val="20"/>
      </w:rPr>
      <w:tab/>
    </w:r>
    <w:r>
      <w:rPr>
        <w:sz w:val="20"/>
        <w:szCs w:val="20"/>
      </w:rPr>
      <w:tab/>
      <w:t>2016/2017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5756"/>
    <w:multiLevelType w:val="hybridMultilevel"/>
    <w:tmpl w:val="91D63C76"/>
    <w:lvl w:ilvl="0" w:tplc="FA58A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E2FFF"/>
    <w:multiLevelType w:val="hybridMultilevel"/>
    <w:tmpl w:val="142064D0"/>
    <w:lvl w:ilvl="0" w:tplc="13D2C2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D3D17"/>
    <w:multiLevelType w:val="hybridMultilevel"/>
    <w:tmpl w:val="142064D0"/>
    <w:lvl w:ilvl="0" w:tplc="13D2C2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00261"/>
    <w:multiLevelType w:val="hybridMultilevel"/>
    <w:tmpl w:val="E15AC508"/>
    <w:lvl w:ilvl="0" w:tplc="24A4F9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82CF4"/>
    <w:multiLevelType w:val="hybridMultilevel"/>
    <w:tmpl w:val="A910531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15A04"/>
    <w:multiLevelType w:val="hybridMultilevel"/>
    <w:tmpl w:val="222C668A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43097"/>
    <w:multiLevelType w:val="hybridMultilevel"/>
    <w:tmpl w:val="142064D0"/>
    <w:lvl w:ilvl="0" w:tplc="13D2C2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655F8"/>
    <w:multiLevelType w:val="hybridMultilevel"/>
    <w:tmpl w:val="C5E473F4"/>
    <w:lvl w:ilvl="0" w:tplc="13D2C2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25D4A"/>
    <w:multiLevelType w:val="hybridMultilevel"/>
    <w:tmpl w:val="4EB88050"/>
    <w:lvl w:ilvl="0" w:tplc="13D2C2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131CC"/>
    <w:multiLevelType w:val="hybridMultilevel"/>
    <w:tmpl w:val="241208CA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411"/>
    <w:rsid w:val="000222BE"/>
    <w:rsid w:val="00040760"/>
    <w:rsid w:val="00057615"/>
    <w:rsid w:val="000714F5"/>
    <w:rsid w:val="000913EA"/>
    <w:rsid w:val="000A7679"/>
    <w:rsid w:val="000B0875"/>
    <w:rsid w:val="000B3121"/>
    <w:rsid w:val="00107540"/>
    <w:rsid w:val="001511F1"/>
    <w:rsid w:val="00164F4A"/>
    <w:rsid w:val="001F39AA"/>
    <w:rsid w:val="002029DB"/>
    <w:rsid w:val="00211A93"/>
    <w:rsid w:val="00253954"/>
    <w:rsid w:val="00273B96"/>
    <w:rsid w:val="00293E98"/>
    <w:rsid w:val="00297FB6"/>
    <w:rsid w:val="00302775"/>
    <w:rsid w:val="003136FB"/>
    <w:rsid w:val="003427E0"/>
    <w:rsid w:val="0037355D"/>
    <w:rsid w:val="003906D2"/>
    <w:rsid w:val="003951EC"/>
    <w:rsid w:val="003A43F7"/>
    <w:rsid w:val="00404875"/>
    <w:rsid w:val="004240CA"/>
    <w:rsid w:val="0044299B"/>
    <w:rsid w:val="00465B13"/>
    <w:rsid w:val="004854AF"/>
    <w:rsid w:val="00497953"/>
    <w:rsid w:val="004B3E11"/>
    <w:rsid w:val="004B4A32"/>
    <w:rsid w:val="004C0FBF"/>
    <w:rsid w:val="004F2BC3"/>
    <w:rsid w:val="005259FA"/>
    <w:rsid w:val="005333AC"/>
    <w:rsid w:val="00556113"/>
    <w:rsid w:val="00586BDF"/>
    <w:rsid w:val="005F1399"/>
    <w:rsid w:val="00636A98"/>
    <w:rsid w:val="0064048A"/>
    <w:rsid w:val="006444E5"/>
    <w:rsid w:val="006843A0"/>
    <w:rsid w:val="006948DD"/>
    <w:rsid w:val="006C7977"/>
    <w:rsid w:val="00712FCA"/>
    <w:rsid w:val="00741D41"/>
    <w:rsid w:val="0074717F"/>
    <w:rsid w:val="00751A49"/>
    <w:rsid w:val="00763F87"/>
    <w:rsid w:val="007928E7"/>
    <w:rsid w:val="007C6A56"/>
    <w:rsid w:val="00805893"/>
    <w:rsid w:val="0082069D"/>
    <w:rsid w:val="00822792"/>
    <w:rsid w:val="0082610F"/>
    <w:rsid w:val="00833EC4"/>
    <w:rsid w:val="00871844"/>
    <w:rsid w:val="00877A39"/>
    <w:rsid w:val="008809FC"/>
    <w:rsid w:val="00883E26"/>
    <w:rsid w:val="008A00A9"/>
    <w:rsid w:val="008E0198"/>
    <w:rsid w:val="00901105"/>
    <w:rsid w:val="00950B34"/>
    <w:rsid w:val="00973A2C"/>
    <w:rsid w:val="0099293F"/>
    <w:rsid w:val="009A2975"/>
    <w:rsid w:val="009D5E59"/>
    <w:rsid w:val="00A07389"/>
    <w:rsid w:val="00A52A2E"/>
    <w:rsid w:val="00A76554"/>
    <w:rsid w:val="00A927DF"/>
    <w:rsid w:val="00AF2907"/>
    <w:rsid w:val="00B7090F"/>
    <w:rsid w:val="00B71EF4"/>
    <w:rsid w:val="00B85F02"/>
    <w:rsid w:val="00BD21C8"/>
    <w:rsid w:val="00C407E3"/>
    <w:rsid w:val="00C85BEF"/>
    <w:rsid w:val="00CA12E9"/>
    <w:rsid w:val="00CA253D"/>
    <w:rsid w:val="00CB0A5A"/>
    <w:rsid w:val="00CC5E6E"/>
    <w:rsid w:val="00CC6292"/>
    <w:rsid w:val="00CE532D"/>
    <w:rsid w:val="00D72A2C"/>
    <w:rsid w:val="00D84328"/>
    <w:rsid w:val="00D9484F"/>
    <w:rsid w:val="00DB3989"/>
    <w:rsid w:val="00E02A59"/>
    <w:rsid w:val="00E05385"/>
    <w:rsid w:val="00E917D2"/>
    <w:rsid w:val="00EE3BEF"/>
    <w:rsid w:val="00F42411"/>
    <w:rsid w:val="00FC62AB"/>
    <w:rsid w:val="00FC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61691"/>
  <w15:chartTrackingRefBased/>
  <w15:docId w15:val="{CA1AE45F-754A-46CD-AFB4-D0DCC942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427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27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F424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42411"/>
  </w:style>
  <w:style w:type="paragraph" w:styleId="Sidefod">
    <w:name w:val="footer"/>
    <w:basedOn w:val="Normal"/>
    <w:link w:val="SidefodTegn"/>
    <w:uiPriority w:val="99"/>
    <w:unhideWhenUsed/>
    <w:rsid w:val="00F424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42411"/>
  </w:style>
  <w:style w:type="character" w:customStyle="1" w:styleId="Overskrift2Tegn">
    <w:name w:val="Overskrift 2 Tegn"/>
    <w:basedOn w:val="Standardskrifttypeiafsnit"/>
    <w:link w:val="Overskrift2"/>
    <w:uiPriority w:val="9"/>
    <w:rsid w:val="008227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ladsholdertekst">
    <w:name w:val="Placeholder Text"/>
    <w:basedOn w:val="Standardskrifttypeiafsnit"/>
    <w:uiPriority w:val="99"/>
    <w:semiHidden/>
    <w:rsid w:val="002029DB"/>
    <w:rPr>
      <w:color w:val="808080"/>
    </w:rPr>
  </w:style>
  <w:style w:type="paragraph" w:styleId="Listeafsnit">
    <w:name w:val="List Paragraph"/>
    <w:basedOn w:val="Normal"/>
    <w:uiPriority w:val="34"/>
    <w:qFormat/>
    <w:rsid w:val="008E0198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3427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45D7A-9EF8-4A61-A6E7-3CF45D7C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3719</TotalTime>
  <Pages>9</Pages>
  <Words>2190</Words>
  <Characters>13366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Evaluerings kopi</Company>
  <LinksUpToDate>false</LinksUpToDate>
  <CharactersWithSpaces>15525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Terkelsen</dc:creator>
  <cp:keywords/>
  <dc:description/>
  <cp:lastModifiedBy>Peter Terkelsen</cp:lastModifiedBy>
  <cp:revision>66</cp:revision>
  <cp:lastPrinted>2017-01-22T18:26:00Z</cp:lastPrinted>
  <dcterms:created xsi:type="dcterms:W3CDTF">2016-12-13T16:23:00Z</dcterms:created>
  <dcterms:modified xsi:type="dcterms:W3CDTF">2017-03-30T20:06:00Z</dcterms:modified>
</cp:coreProperties>
</file>